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4A9BE">
      <w:pPr>
        <w:widowControl/>
        <w:spacing w:line="560" w:lineRule="exact"/>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附件2</w:t>
      </w:r>
    </w:p>
    <w:p w14:paraId="07378295">
      <w:pPr>
        <w:widowControl/>
        <w:spacing w:line="560" w:lineRule="exact"/>
        <w:jc w:val="left"/>
        <w:rPr>
          <w:rFonts w:hint="eastAsia" w:ascii="黑体" w:hAnsi="黑体" w:eastAsia="黑体" w:cs="黑体"/>
          <w:bCs/>
          <w:sz w:val="32"/>
          <w:szCs w:val="32"/>
          <w:lang w:val="en-US" w:eastAsia="zh-CN"/>
        </w:rPr>
      </w:pPr>
    </w:p>
    <w:p w14:paraId="36769DA6">
      <w:pPr>
        <w:spacing w:after="0"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北京消防协会</w:t>
      </w:r>
    </w:p>
    <w:p w14:paraId="7F8AAF36">
      <w:pPr>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《电动汽车停放充电场所消防技术导则》</w:t>
      </w:r>
    </w:p>
    <w:p w14:paraId="06709685">
      <w:pPr>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团体标准编制说明</w:t>
      </w:r>
    </w:p>
    <w:bookmarkEnd w:id="0"/>
    <w:p w14:paraId="284B0F03">
      <w:pPr>
        <w:widowControl/>
        <w:spacing w:line="560" w:lineRule="exact"/>
        <w:ind w:firstLine="723" w:firstLineChars="200"/>
        <w:rPr>
          <w:rFonts w:hint="eastAsia" w:ascii="宋体" w:hAnsi="宋体" w:eastAsia="宋体" w:cs="宋体"/>
          <w:b/>
          <w:kern w:val="0"/>
          <w:sz w:val="36"/>
          <w:szCs w:val="36"/>
        </w:rPr>
      </w:pPr>
    </w:p>
    <w:p w14:paraId="628B9D63">
      <w:pPr>
        <w:numPr>
          <w:ilvl w:val="0"/>
          <w:numId w:val="1"/>
        </w:num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工作概况</w:t>
      </w:r>
    </w:p>
    <w:p w14:paraId="2121BAC1">
      <w:pPr>
        <w:numPr>
          <w:ilvl w:val="0"/>
          <w:numId w:val="2"/>
        </w:numPr>
        <w:spacing w:after="0" w:line="560"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项目来源：</w:t>
      </w:r>
      <w:r>
        <w:rPr>
          <w:rFonts w:hint="eastAsia" w:ascii="仿宋_GB2312" w:hAnsi="仿宋_GB2312" w:eastAsia="仿宋_GB2312" w:cs="仿宋_GB2312"/>
          <w:sz w:val="32"/>
          <w:szCs w:val="32"/>
        </w:rPr>
        <w:t>北京消防协会</w:t>
      </w:r>
    </w:p>
    <w:p w14:paraId="26064526">
      <w:pPr>
        <w:numPr>
          <w:ilvl w:val="0"/>
          <w:numId w:val="2"/>
        </w:numPr>
        <w:spacing w:after="0"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主要起草单位：</w:t>
      </w:r>
      <w:r>
        <w:rPr>
          <w:rFonts w:hint="eastAsia" w:ascii="仿宋_GB2312" w:hAnsi="仿宋_GB2312" w:eastAsia="仿宋_GB2312" w:cs="仿宋_GB2312"/>
          <w:sz w:val="32"/>
          <w:szCs w:val="32"/>
        </w:rPr>
        <w:t>建研防火科技有限公司</w:t>
      </w:r>
    </w:p>
    <w:p w14:paraId="59977DC6">
      <w:pPr>
        <w:numPr>
          <w:ilvl w:val="0"/>
          <w:numId w:val="2"/>
        </w:numPr>
        <w:spacing w:after="0"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参编单位：</w:t>
      </w:r>
      <w:r>
        <w:rPr>
          <w:rFonts w:hint="eastAsia" w:ascii="仿宋_GB2312" w:hAnsi="仿宋_GB2312" w:eastAsia="仿宋_GB2312" w:cs="仿宋_GB2312"/>
          <w:sz w:val="32"/>
          <w:szCs w:val="32"/>
        </w:rPr>
        <w:t>四川前立应急救援设备有限公司、蓝鲸高领（北京）标准化技术服务有限公司、应急管理大学、应急管理部国家自然灾害防治研究院、中国消防救援学院、河南省消防协会、天津市消防协会、河北省消防协会、宁夏消防协会、菲沐盛（山西）材料科技有限公司、湖北丰邦安防科技有限公司、苏州联捷科技集团有限公司、临沂昊泉硅业科技有限公司、小蚂蚁环保集团有限公司、浙江华友钴业股份有限公司、广东合创嘉兆消防设备制造有限公司、北京利达华信电子股份有限公司、清大东方消防技术服务有限公司、上海科沐霖新材料有限公司、安之堡（河北）科技有限公司、常盾消防科技（浙江）有限公司、葆润智火（杭州）科技有限公司、大有中城数字科技（广东）有限公司、观火台（厦门）消防科技有限公司、河北梅尔伯格安全科技有限公司、北京京智安科技实业有限公司、安满充安防技术上海有限公司、台州市振航机电有限公司。</w:t>
      </w:r>
    </w:p>
    <w:p w14:paraId="23C0ECE6">
      <w:pPr>
        <w:numPr>
          <w:ilvl w:val="0"/>
          <w:numId w:val="2"/>
        </w:numPr>
        <w:spacing w:after="0"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主要起草人：</w:t>
      </w:r>
      <w:r>
        <w:rPr>
          <w:rFonts w:hint="eastAsia" w:ascii="仿宋_GB2312" w:hAnsi="仿宋_GB2312" w:eastAsia="仿宋_GB2312" w:cs="仿宋_GB2312"/>
          <w:sz w:val="32"/>
          <w:szCs w:val="32"/>
        </w:rPr>
        <w:t>陈荣恒、赵建荣、沈刚、孙富、钟利智、刘有霞、李玉涛、刘永涛、苗志全、王文龙、王爽、段永辉、吴春荣、商荣华、陈良、李红莲、马森源、谢远华、刘益民、赵祥、刘本少、李增、王程冉、杨征、战天英、姜日新、韩菲、孙金龙、杨赫、林建民、康平、董正满、杨建杰、任缘、王小强、贺伟宏、芮莹、吕红卓、张志昂、宋子墨、刘畅、张鹏云。</w:t>
      </w:r>
    </w:p>
    <w:p w14:paraId="3B4CF079">
      <w:pPr>
        <w:numPr>
          <w:ilvl w:val="0"/>
          <w:numId w:val="3"/>
        </w:numPr>
        <w:spacing w:after="0" w:line="560" w:lineRule="exact"/>
        <w:ind w:firstLine="680" w:firstLineChars="200"/>
        <w:rPr>
          <w:rFonts w:hint="eastAsia" w:ascii="仿宋_GB2312" w:hAnsi="仿宋_GB2312" w:eastAsia="仿宋_GB2312" w:cs="仿宋_GB2312"/>
          <w:sz w:val="32"/>
          <w:szCs w:val="32"/>
        </w:rPr>
      </w:pPr>
      <w:r>
        <w:rPr>
          <w:rFonts w:hint="eastAsia" w:ascii="楷体" w:hAnsi="楷体" w:eastAsia="楷体" w:cs="楷体"/>
          <w:spacing w:val="10"/>
          <w:sz w:val="32"/>
          <w:szCs w:val="32"/>
        </w:rPr>
        <w:t>标准名称变更：</w:t>
      </w:r>
      <w:r>
        <w:rPr>
          <w:rFonts w:hint="eastAsia" w:ascii="仿宋_GB2312" w:hAnsi="仿宋_GB2312" w:eastAsia="仿宋_GB2312" w:cs="仿宋_GB2312"/>
          <w:sz w:val="32"/>
          <w:szCs w:val="32"/>
          <w:lang w:eastAsia="zh-Hans"/>
        </w:rPr>
        <w:t>经</w:t>
      </w:r>
      <w:r>
        <w:rPr>
          <w:rFonts w:hint="eastAsia" w:ascii="仿宋_GB2312" w:hAnsi="仿宋_GB2312" w:eastAsia="仿宋_GB2312" w:cs="仿宋_GB2312"/>
          <w:sz w:val="32"/>
          <w:szCs w:val="32"/>
        </w:rPr>
        <w:t>立项评估会审核，标准名称由申请立项时《新能源汽车停放场所消防安全管理规范》改为《电动汽车停放充电场所消防安全导则》；经</w:t>
      </w:r>
      <w:r>
        <w:rPr>
          <w:rFonts w:hint="eastAsia" w:ascii="仿宋_GB2312" w:hAnsi="仿宋_GB2312" w:eastAsia="仿宋_GB2312" w:cs="仿宋_GB2312"/>
          <w:sz w:val="32"/>
          <w:szCs w:val="32"/>
          <w:lang w:eastAsia="zh-Hans"/>
        </w:rPr>
        <w:t>第二次编制组工作会议讨论，</w:t>
      </w:r>
      <w:r>
        <w:rPr>
          <w:rFonts w:hint="eastAsia" w:ascii="仿宋_GB2312" w:hAnsi="仿宋_GB2312" w:eastAsia="仿宋_GB2312" w:cs="仿宋_GB2312"/>
          <w:sz w:val="32"/>
          <w:szCs w:val="32"/>
        </w:rPr>
        <w:t>因标准内容主要从技术参数角度出发，标准</w:t>
      </w:r>
      <w:r>
        <w:rPr>
          <w:rFonts w:hint="eastAsia" w:ascii="仿宋_GB2312" w:hAnsi="仿宋_GB2312" w:eastAsia="仿宋_GB2312" w:cs="仿宋_GB2312"/>
          <w:sz w:val="32"/>
          <w:szCs w:val="32"/>
          <w:lang w:eastAsia="zh-Hans"/>
        </w:rPr>
        <w:t>名称</w:t>
      </w:r>
      <w:r>
        <w:rPr>
          <w:rFonts w:hint="eastAsia" w:ascii="仿宋_GB2312" w:hAnsi="仿宋_GB2312" w:eastAsia="仿宋_GB2312" w:cs="仿宋_GB2312"/>
          <w:sz w:val="32"/>
          <w:szCs w:val="32"/>
        </w:rPr>
        <w:t>又</w:t>
      </w:r>
      <w:r>
        <w:rPr>
          <w:rFonts w:hint="eastAsia" w:ascii="仿宋_GB2312" w:hAnsi="仿宋_GB2312" w:eastAsia="仿宋_GB2312" w:cs="仿宋_GB2312"/>
          <w:sz w:val="32"/>
          <w:szCs w:val="32"/>
          <w:lang w:eastAsia="zh-Hans"/>
        </w:rPr>
        <w:t>更改为《电动汽车停放充电场所消防技术导则》。</w:t>
      </w:r>
    </w:p>
    <w:p w14:paraId="11B21F49">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二、制定标准的必要性和意义</w:t>
      </w:r>
    </w:p>
    <w:p w14:paraId="056CA8F0">
      <w:pPr>
        <w:spacing w:after="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近年来，我国电动汽车产业发展态势强劲，保有量呈持续上升趋势。根据相关部门统计数据，截至2025</w:t>
      </w:r>
      <w:r>
        <w:rPr>
          <w:rFonts w:hint="eastAsia" w:ascii="仿宋_GB2312" w:hAnsi="仿宋_GB2312" w:eastAsia="仿宋_GB2312" w:cs="仿宋_GB2312"/>
          <w:sz w:val="32"/>
          <w:szCs w:val="32"/>
          <w:lang w:val="en-US" w:eastAsia="zh-CN"/>
        </w:rPr>
        <w:t>年底</w:t>
      </w:r>
      <w:r>
        <w:rPr>
          <w:rFonts w:hint="eastAsia" w:ascii="仿宋_GB2312" w:hAnsi="仿宋_GB2312" w:eastAsia="仿宋_GB2312" w:cs="仿宋_GB2312"/>
          <w:sz w:val="32"/>
          <w:szCs w:val="32"/>
          <w:lang w:eastAsia="zh-CN"/>
        </w:rPr>
        <w:t>，全国新能源汽车保有量达到4397万辆，占汽车总量的12.01%；其中纯电动汽车保有量为3022万辆，占新能源汽车保有量的68.74%。2025年新注册登记的新能源汽车为1293万辆，占新注册登记汽车数量的49.38%，相较于2024年增加168万辆，增幅为14.93%。电动汽车的普及在推动绿色出行、促进能源结构转型的同时，其停放场所的消防安全问题也愈发突出。</w:t>
      </w:r>
    </w:p>
    <w:p w14:paraId="7E53784D">
      <w:pPr>
        <w:spacing w:after="0"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（一）必要性</w:t>
      </w:r>
    </w:p>
    <w:p w14:paraId="633B24DF">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等地已经发布了有关新能源汽车停放场所消防安全管理的标准，但由于各地的经济发展水平、地理环境、新能源汽车保有量、基础设施建设等实际情况存在较大差异，这些地方标准难以在全国范围内统一适用。部分地区的新能源汽车停放场所消防安全管理缺乏有效的规范和指导，存在诸多问题。如一些停车场消防设施配置不足或不符合新能源汽车火灾扑救要求，日常管理混乱，缺乏对新能源汽车停放、充电等环节的有效监管，应急处置机制不健全等，这些都导致了较大的安全隐患。</w:t>
      </w:r>
    </w:p>
    <w:p w14:paraId="6F026570">
      <w:pPr>
        <w:spacing w:after="0" w:line="560" w:lineRule="exact"/>
        <w:ind w:firstLine="643" w:firstLineChars="200"/>
        <w:rPr>
          <w:rFonts w:hint="eastAsia" w:ascii="楷体" w:hAnsi="楷体" w:eastAsia="楷体" w:cs="楷体"/>
          <w:b/>
          <w:bCs/>
          <w:sz w:val="32"/>
          <w:szCs w:val="32"/>
        </w:rPr>
      </w:pPr>
      <w:r>
        <w:rPr>
          <w:rFonts w:hint="eastAsia" w:ascii="仿宋" w:hAnsi="仿宋" w:eastAsia="仿宋" w:cs="仿宋"/>
          <w:b/>
          <w:bCs/>
          <w:sz w:val="32"/>
          <w:szCs w:val="32"/>
        </w:rPr>
        <w:t>（</w:t>
      </w:r>
      <w:r>
        <w:rPr>
          <w:rFonts w:hint="eastAsia" w:ascii="楷体" w:hAnsi="楷体" w:eastAsia="楷体" w:cs="楷体"/>
          <w:b/>
          <w:bCs/>
          <w:sz w:val="32"/>
          <w:szCs w:val="32"/>
        </w:rPr>
        <w:t>二）目的及意义</w:t>
      </w:r>
    </w:p>
    <w:p w14:paraId="49FA5F24">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动汽车与传统燃油汽车在构造和动力来源上存在显著差异，其电池等核心部件在特定条件下易发生热失控，引发火灾事故。近年来，多地电动汽车停放场所发生火灾的案例屡见不鲜，给人民群众的生命财产安全带来了严重威胁。同时随着电动汽车保有量的不断上升，其停放场所的消防安全面临着前所未有的严峻考验，亟须制定统一、科学、规范的消防安全管理标准来加以应对。</w:t>
      </w:r>
    </w:p>
    <w:p w14:paraId="2520BFD2">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三、标准主要内容的论据</w:t>
      </w:r>
    </w:p>
    <w:p w14:paraId="746BA9A9">
      <w:pPr>
        <w:numPr>
          <w:ilvl w:val="0"/>
          <w:numId w:val="4"/>
        </w:numPr>
        <w:spacing w:after="0"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标准制定原则</w:t>
      </w:r>
    </w:p>
    <w:p w14:paraId="6158B872">
      <w:pPr>
        <w:spacing w:after="0" w:line="56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bCs/>
          <w:sz w:val="32"/>
          <w:szCs w:val="32"/>
        </w:rPr>
        <w:t>1.合规性原则。</w:t>
      </w:r>
      <w:r>
        <w:rPr>
          <w:rFonts w:hint="eastAsia" w:ascii="仿宋_GB2312" w:hAnsi="仿宋_GB2312" w:eastAsia="仿宋_GB2312" w:cs="仿宋_GB2312"/>
          <w:sz w:val="32"/>
          <w:szCs w:val="32"/>
        </w:rPr>
        <w:t>紧密衔接《中华人民共和国消防法（2019年4月23日修正）》《汽车库、修车库、停车场设计防火规范》（</w:t>
      </w:r>
      <w:r>
        <w:rPr>
          <w:rFonts w:hint="eastAsia" w:ascii="仿宋_GB2312" w:hAnsi="仿宋_GB2312" w:eastAsia="仿宋_GB2312" w:cs="仿宋_GB2312"/>
          <w:sz w:val="32"/>
          <w:szCs w:val="32"/>
          <w:lang w:eastAsia="zh-CN"/>
        </w:rPr>
        <w:t>GB 50067-2014</w:t>
      </w:r>
      <w:r>
        <w:rPr>
          <w:rFonts w:hint="eastAsia" w:ascii="仿宋_GB2312" w:hAnsi="仿宋_GB2312" w:eastAsia="仿宋_GB2312" w:cs="仿宋_GB2312"/>
          <w:sz w:val="32"/>
          <w:szCs w:val="32"/>
        </w:rPr>
        <w:t>）、《建筑灭火器配置设计规范》（</w:t>
      </w:r>
      <w:r>
        <w:rPr>
          <w:rFonts w:hint="eastAsia" w:ascii="仿宋_GB2312" w:hAnsi="仿宋_GB2312" w:eastAsia="仿宋_GB2312" w:cs="仿宋_GB2312"/>
          <w:sz w:val="32"/>
          <w:szCs w:val="32"/>
          <w:lang w:eastAsia="zh-CN"/>
        </w:rPr>
        <w:t>GB 50140-2005</w:t>
      </w:r>
      <w:r>
        <w:rPr>
          <w:rFonts w:hint="eastAsia" w:ascii="仿宋_GB2312" w:hAnsi="仿宋_GB2312" w:eastAsia="仿宋_GB2312" w:cs="仿宋_GB2312"/>
          <w:sz w:val="32"/>
          <w:szCs w:val="32"/>
        </w:rPr>
        <w:t>）、《北京市消防条例（2025修订）》《高层民用建筑消防安全管理规定》（中华人民共和国应急管理部令第5号）等上位法及相关国家标准与行业标准，确保条款与现有法规体系无冲突，同时，编写格式符合《标准化工作导则第1部分：标准化文件的结构和起草规则》</w:t>
      </w:r>
      <w:r>
        <w:rPr>
          <w:rFonts w:hint="eastAsia" w:ascii="仿宋_GB2312" w:hAnsi="仿宋_GB2312" w:eastAsia="仿宋_GB2312" w:cs="仿宋_GB2312"/>
          <w:sz w:val="32"/>
          <w:szCs w:val="32"/>
          <w:lang w:eastAsia="zh-CN"/>
        </w:rPr>
        <w:t>（GB/T 1.1-2020）</w:t>
      </w:r>
      <w:r>
        <w:rPr>
          <w:rFonts w:hint="eastAsia" w:ascii="仿宋_GB2312" w:hAnsi="仿宋_GB2312" w:eastAsia="仿宋_GB2312" w:cs="仿宋_GB2312"/>
          <w:sz w:val="32"/>
          <w:szCs w:val="32"/>
        </w:rPr>
        <w:t>相关要求，契合规范要求。</w:t>
      </w:r>
    </w:p>
    <w:p w14:paraId="23A8D797">
      <w:pPr>
        <w:pStyle w:val="15"/>
        <w:spacing w:after="0" w:line="560" w:lineRule="exact"/>
        <w:ind w:firstLine="643"/>
        <w:rPr>
          <w:rFonts w:hint="eastAsia" w:ascii="仿宋_GB2312" w:hAnsi="仿宋_GB2312" w:eastAsia="仿宋_GB2312" w:cs="仿宋_GB2312"/>
          <w:kern w:val="2"/>
          <w:sz w:val="32"/>
          <w:szCs w:val="32"/>
        </w:rPr>
      </w:pPr>
      <w:r>
        <w:rPr>
          <w:rFonts w:hint="eastAsia" w:ascii="仿宋" w:hAnsi="仿宋" w:eastAsia="仿宋" w:cs="仿宋"/>
          <w:b/>
          <w:bCs/>
          <w:kern w:val="2"/>
          <w:sz w:val="32"/>
          <w:szCs w:val="32"/>
        </w:rPr>
        <w:t>2.实用性原则。</w:t>
      </w:r>
      <w:r>
        <w:rPr>
          <w:rFonts w:hint="eastAsia" w:ascii="仿宋_GB2312" w:hAnsi="仿宋_GB2312" w:eastAsia="仿宋_GB2312" w:cs="仿宋_GB2312"/>
          <w:kern w:val="2"/>
          <w:sz w:val="32"/>
          <w:szCs w:val="32"/>
        </w:rPr>
        <w:t>标准以降低首都新能源汽车停放场所消防安全风险，合理提升消防安全技术水平，统一灭火应急处置设施配置要求，聚焦热失控处置、充电区域管理等实际痛点，结合车库布局、设备配置等场景，制定具象化操作规范，方便管理方直接应用。</w:t>
      </w:r>
    </w:p>
    <w:p w14:paraId="1F637E18">
      <w:pPr>
        <w:pStyle w:val="15"/>
        <w:spacing w:after="0" w:line="560" w:lineRule="exact"/>
        <w:ind w:firstLine="643"/>
        <w:rPr>
          <w:rFonts w:hint="eastAsia" w:ascii="仿宋_GB2312" w:hAnsi="仿宋_GB2312" w:eastAsia="仿宋_GB2312" w:cs="仿宋_GB2312"/>
          <w:kern w:val="2"/>
          <w:sz w:val="32"/>
          <w:szCs w:val="32"/>
        </w:rPr>
      </w:pPr>
      <w:r>
        <w:rPr>
          <w:rFonts w:hint="eastAsia" w:ascii="仿宋" w:hAnsi="仿宋" w:eastAsia="仿宋" w:cs="仿宋"/>
          <w:b/>
          <w:bCs/>
          <w:kern w:val="2"/>
          <w:sz w:val="32"/>
          <w:szCs w:val="32"/>
        </w:rPr>
        <w:t>3.科学性原则。</w:t>
      </w:r>
      <w:r>
        <w:rPr>
          <w:rFonts w:hint="eastAsia" w:ascii="仿宋_GB2312" w:hAnsi="仿宋_GB2312" w:eastAsia="仿宋_GB2312" w:cs="仿宋_GB2312"/>
          <w:kern w:val="2"/>
          <w:sz w:val="32"/>
          <w:szCs w:val="32"/>
        </w:rPr>
        <w:t>以电动汽车火灾案例数据为支撑，融入电池特性研究成果，确保技术指标与防控措施有数据依托。</w:t>
      </w:r>
    </w:p>
    <w:p w14:paraId="46E92813">
      <w:pPr>
        <w:pStyle w:val="15"/>
        <w:spacing w:after="0" w:line="560" w:lineRule="exact"/>
        <w:ind w:firstLine="643"/>
        <w:rPr>
          <w:rFonts w:hint="eastAsia" w:ascii="仿宋_GB2312" w:hAnsi="仿宋_GB2312" w:eastAsia="仿宋_GB2312" w:cs="仿宋_GB2312"/>
          <w:kern w:val="2"/>
          <w:sz w:val="32"/>
          <w:szCs w:val="32"/>
        </w:rPr>
      </w:pPr>
      <w:r>
        <w:rPr>
          <w:rFonts w:hint="eastAsia" w:ascii="仿宋" w:hAnsi="仿宋" w:eastAsia="仿宋" w:cs="仿宋"/>
          <w:b/>
          <w:bCs/>
          <w:kern w:val="2"/>
          <w:sz w:val="32"/>
          <w:szCs w:val="32"/>
        </w:rPr>
        <w:t>4.前瞻性原则。</w:t>
      </w:r>
      <w:r>
        <w:rPr>
          <w:rFonts w:hint="eastAsia" w:ascii="仿宋_GB2312" w:hAnsi="仿宋_GB2312" w:eastAsia="仿宋_GB2312" w:cs="仿宋_GB2312"/>
          <w:kern w:val="2"/>
          <w:sz w:val="32"/>
          <w:szCs w:val="32"/>
        </w:rPr>
        <w:t>兼顾智能监测、换电模式等产业新趋势，预留技术升级接口，避免标准快速滞后。</w:t>
      </w:r>
    </w:p>
    <w:p w14:paraId="79B33412">
      <w:pPr>
        <w:numPr>
          <w:ilvl w:val="0"/>
          <w:numId w:val="4"/>
        </w:numPr>
        <w:spacing w:after="0"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标准的特点</w:t>
      </w:r>
    </w:p>
    <w:p w14:paraId="6AE18834">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标准补充了现有国家标准、行业标准以及地方标准相关内容，从新能源汽车停放充电场所的实际特点出发，从分析预警、报警、灭火设施的配置等角度对现有标准进行了补充。同时，在合理合规的前提下，与时俱进，不断创新，积极引入安全可靠的新产品、新技术，保证标准的前瞻性和实用性。</w:t>
      </w:r>
    </w:p>
    <w:p w14:paraId="693321DB">
      <w:pPr>
        <w:numPr>
          <w:ilvl w:val="0"/>
          <w:numId w:val="4"/>
        </w:numPr>
        <w:spacing w:after="0"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标准主要内容</w:t>
      </w:r>
    </w:p>
    <w:p w14:paraId="69A6CF35">
      <w:pPr>
        <w:spacing w:after="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1.适用范围</w:t>
      </w:r>
    </w:p>
    <w:p w14:paraId="18965653">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本文件适用于各类电动汽车专用停车场、综合停车场配建充电区域、汽车库内充电设施区域及露天充电场站的消防设施配套、设备系统运维及日常防火管理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不适用于电动汽车电池更换站、动力电池生产及维修场所、由独立储能设施直接供能的充电场所。</w:t>
      </w:r>
    </w:p>
    <w:p w14:paraId="5A7A7EA0">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说明：明确不适用于换电站、电池生产及维修、独立储能直供充电场所，因现行国标未对“充电场所边界”做清晰排除，易导致监管错位，本导则聚焦停放+充电场景，避免标准适用混乱。</w:t>
      </w:r>
    </w:p>
    <w:p w14:paraId="28589D1D">
      <w:pPr>
        <w:spacing w:after="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2.术语定义</w:t>
      </w:r>
    </w:p>
    <w:p w14:paraId="6A9024F8">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因国标无针对电动车火灾的智能防控、隔离处置定义，无法支撑新型设施设计，新增智能消防监控系统、隔离处置单元2个专属术语。</w:t>
      </w:r>
    </w:p>
    <w:p w14:paraId="36E72A37">
      <w:pPr>
        <w:spacing w:after="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3.基本要求</w:t>
      </w:r>
    </w:p>
    <w:p w14:paraId="5D4B5DF0">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规定了既有场所加装充电必须先做消防安全评估，电气火灾监测补充了干线+末端双监测的要求，并增加了巡查鼓励使用物联+智能巡检。</w:t>
      </w:r>
    </w:p>
    <w:p w14:paraId="2F5FB7D9">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现有标准只提“消防设计”，未覆盖存量改造风险，因此要求进行加装设备前必须进行消防安全评估，保证场所安全可靠；现有标准电气监测只规定了总闸监测，因充电回路的末端故障最多，因此要求进行干线+末端双监测，可提前预警；当今智能化巡检设备不断应用于现场，因此鼓励使用此类设备，提升巡检能力和降低人工成本的同时，有助于该类设备的使用。</w:t>
      </w:r>
    </w:p>
    <w:p w14:paraId="061CDCBF">
      <w:pPr>
        <w:spacing w:after="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4.区域布置关键规定</w:t>
      </w:r>
    </w:p>
    <w:p w14:paraId="1C4D47DB">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现行标准规定的基础上，提升了相关技术要求：充电车位净距≥0.5m，设备距外墙/通道≥1.5m，室内通风≥6次/h，排风直通室外，防火单元≤12个充电车位，每组≤3个，组间2.0h隔墙/1.5m间距，露天场地坡度≥3‰。</w:t>
      </w:r>
    </w:p>
    <w:p w14:paraId="5BCA6670">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lang w:eastAsia="zh-CN"/>
        </w:rPr>
        <w:t>GB/T 51313-2018</w:t>
      </w:r>
      <w:r>
        <w:rPr>
          <w:rFonts w:hint="eastAsia" w:ascii="仿宋_GB2312" w:hAnsi="仿宋_GB2312" w:eastAsia="仿宋_GB2312" w:cs="仿宋_GB2312"/>
          <w:sz w:val="32"/>
          <w:szCs w:val="32"/>
        </w:rPr>
        <w:t>规定充电车位净距≥0.3m；设备距外墙≥0.8m；</w:t>
      </w:r>
      <w:r>
        <w:rPr>
          <w:rFonts w:hint="eastAsia" w:ascii="仿宋_GB2312" w:hAnsi="仿宋_GB2312" w:eastAsia="仿宋_GB2312" w:cs="仿宋_GB2312"/>
          <w:sz w:val="32"/>
          <w:szCs w:val="32"/>
          <w:lang w:eastAsia="zh-CN"/>
        </w:rPr>
        <w:t>GB 50067-2014</w:t>
      </w:r>
      <w:r>
        <w:rPr>
          <w:rFonts w:hint="eastAsia" w:ascii="仿宋_GB2312" w:hAnsi="仿宋_GB2312" w:eastAsia="仿宋_GB2312" w:cs="仿宋_GB2312"/>
          <w:sz w:val="32"/>
          <w:szCs w:val="32"/>
        </w:rPr>
        <w:t>规定通风按常规车库设计，无换气次数要求，无防火单元车位数量限制。考虑到电动汽车火灾热释放速率高、易发生多车连续燃烧，因而从物理布局进行提升；在通风环节进行换气次数的要求，以此来高效排出有毒有害气体；增加防火单元的要求，严控火灾规模，防止火势快速蔓延，降低救援难度。</w:t>
      </w:r>
    </w:p>
    <w:p w14:paraId="7EC8B445">
      <w:pPr>
        <w:spacing w:after="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.监测预警系统要求</w:t>
      </w:r>
    </w:p>
    <w:p w14:paraId="74B8B63F">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标准提出了电池、电气、环境、火点、视频五类监测，实现热失控提前3–5分钟预警；要求每车位配备1支感烟+宜复合、图像、红紫外探测，可燃气体探测强制覆盖氢气、一氧化碳。</w:t>
      </w:r>
    </w:p>
    <w:p w14:paraId="6D348067">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说明：现行标准</w:t>
      </w:r>
      <w:r>
        <w:rPr>
          <w:rFonts w:hint="eastAsia" w:ascii="仿宋_GB2312" w:hAnsi="仿宋_GB2312" w:eastAsia="仿宋_GB2312" w:cs="仿宋_GB2312"/>
          <w:sz w:val="32"/>
          <w:szCs w:val="32"/>
          <w:lang w:eastAsia="zh-CN"/>
        </w:rPr>
        <w:t>GB 50116-2013</w:t>
      </w:r>
      <w:r>
        <w:rPr>
          <w:rFonts w:hint="eastAsia" w:ascii="仿宋_GB2312" w:hAnsi="仿宋_GB2312" w:eastAsia="仿宋_GB2312" w:cs="仿宋_GB2312"/>
          <w:sz w:val="32"/>
          <w:szCs w:val="32"/>
        </w:rPr>
        <w:t>规定设感烟探测器、手动报警按钮，</w:t>
      </w:r>
      <w:r>
        <w:rPr>
          <w:rFonts w:hint="eastAsia" w:ascii="仿宋_GB2312" w:hAnsi="仿宋_GB2312" w:eastAsia="仿宋_GB2312" w:cs="仿宋_GB2312"/>
          <w:sz w:val="32"/>
          <w:szCs w:val="32"/>
          <w:lang w:eastAsia="zh-CN"/>
        </w:rPr>
        <w:t>GB/T 50966-2024</w:t>
      </w:r>
      <w:r>
        <w:rPr>
          <w:rFonts w:hint="eastAsia" w:ascii="仿宋_GB2312" w:hAnsi="仿宋_GB2312" w:eastAsia="仿宋_GB2312" w:cs="仿宋_GB2312"/>
          <w:sz w:val="32"/>
          <w:szCs w:val="32"/>
        </w:rPr>
        <w:t>中无电池热失控监测要求，同时也没有针对氢气、一氧化碳的探测要求。考虑到电池热失控先释放氢气、一氧化碳等可燃有毒气体，同时现场环境特殊，因此需要从“火灾报警”升级为“热失控预警”；为了精准定位起火的车位，要求在每个车位安装1只探测器，以此来提升探测的准确性。</w:t>
      </w:r>
    </w:p>
    <w:p w14:paraId="122ED074">
      <w:pPr>
        <w:spacing w:after="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.灭火设施配置标准</w:t>
      </w:r>
    </w:p>
    <w:p w14:paraId="28FFAE4F">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标准中规定按严重危险级配置灭火器：室内≥3L水基型/≥4kg干粉，间距≤9m，室外用推车式且间距≤15m。每车位至少2个喷头，宜增设细水雾。</w:t>
      </w:r>
    </w:p>
    <w:p w14:paraId="73CEE111">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说明：现行标准</w:t>
      </w:r>
      <w:r>
        <w:rPr>
          <w:rFonts w:hint="eastAsia" w:ascii="仿宋_GB2312" w:hAnsi="仿宋_GB2312" w:eastAsia="仿宋_GB2312" w:cs="仿宋_GB2312"/>
          <w:sz w:val="32"/>
          <w:szCs w:val="32"/>
          <w:lang w:eastAsia="zh-CN"/>
        </w:rPr>
        <w:t>GB 50140-2005</w:t>
      </w:r>
      <w:r>
        <w:rPr>
          <w:rFonts w:hint="eastAsia" w:ascii="仿宋_GB2312" w:hAnsi="仿宋_GB2312" w:eastAsia="仿宋_GB2312" w:cs="仿宋_GB2312"/>
          <w:sz w:val="32"/>
          <w:szCs w:val="32"/>
        </w:rPr>
        <w:t>规定电动汽车停放场所为中危险级，灭火器间距≤15m，考虑到电动汽车停放场所的特殊性以及发生火灾后的载荷极高，因此要求间距按照严重危险级进行布置。动力电池火灾需持续冷却降温，水基型适配性更强，同时对于现场特殊的灭火条件特性，增加简易、快速布置的喷水灭火设施，以此来提升初期灭火与控温能力，适配电池火灾扑救特性，降低复燃风险。</w:t>
      </w:r>
    </w:p>
    <w:p w14:paraId="629D373E">
      <w:pPr>
        <w:spacing w:after="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.隔离处置设施配置</w:t>
      </w:r>
    </w:p>
    <w:p w14:paraId="445D3F48">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标准提出隔离处置单元的划分，宜增设智能化移车设备、多功能围堰、柔性防火分隔、控火毯等创新装备配置要求。</w:t>
      </w:r>
    </w:p>
    <w:p w14:paraId="48518D5D">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lang w:eastAsia="zh-CN"/>
        </w:rPr>
        <w:t>：GB/T 38283-2019</w:t>
      </w:r>
      <w:r>
        <w:rPr>
          <w:rFonts w:hint="eastAsia" w:ascii="仿宋_GB2312" w:hAnsi="仿宋_GB2312" w:eastAsia="仿宋_GB2312" w:cs="仿宋_GB2312"/>
          <w:sz w:val="32"/>
          <w:szCs w:val="32"/>
        </w:rPr>
        <w:t>仅提出了冷却和疏散，相关标准中没有提出有关隔离处置和智能装备的增设要求，依据行业实践与验证，电池火灾需快速隔离、控火，防止电解液泄漏扩散，因此要求增设相关隔离处置设施，弥补传统消防设施短板，提供快速隔离与专业化处置手段，阻止火势扩大。</w:t>
      </w:r>
    </w:p>
    <w:p w14:paraId="7BA90B50">
      <w:pPr>
        <w:spacing w:after="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.应急疏散与通风排烟</w:t>
      </w:r>
    </w:p>
    <w:p w14:paraId="1F23F6CC">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标准要求应急照明供电≥90min，机械排烟量≥60m³/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h・㎡），风机与风管采用防爆、不燃材料。</w:t>
      </w:r>
    </w:p>
    <w:p w14:paraId="41BFB7F7">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现行标准对应急照明的时间规定为≥30min，考虑到地下停车场所的环境复杂性，提升了时间要求，给人员疏散提供了基础保障；同时电动汽车火灾烟气量大、毒性高、含可燃气体，需要提升排烟能力，快速排出有毒烟气，降低爆炸风险。</w:t>
      </w:r>
    </w:p>
    <w:p w14:paraId="73015FFC">
      <w:pPr>
        <w:spacing w:after="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.运维管理核心规则</w:t>
      </w:r>
    </w:p>
    <w:p w14:paraId="16CC3DE9">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电供配电独立设置，用阻燃电缆，穿管保护；漏电保护动作电流≤100mA，每月进行试验。日常巡检方面，要求每月巡检、每半年专项检测、每年全面电气评估，建立安全档案。定期维护消防、通风、应急处置设备，确保功能正常。</w:t>
      </w:r>
    </w:p>
    <w:p w14:paraId="346FD4C2">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说明：现行标准</w:t>
      </w:r>
      <w:r>
        <w:rPr>
          <w:rFonts w:hint="eastAsia" w:ascii="仿宋_GB2312" w:hAnsi="仿宋_GB2312" w:eastAsia="仿宋_GB2312" w:cs="仿宋_GB2312"/>
          <w:sz w:val="32"/>
          <w:szCs w:val="32"/>
          <w:lang w:eastAsia="zh-CN"/>
        </w:rPr>
        <w:t>GB 50217-2018</w:t>
      </w:r>
      <w:r>
        <w:rPr>
          <w:rFonts w:hint="eastAsia" w:ascii="仿宋_GB2312" w:hAnsi="仿宋_GB2312" w:eastAsia="仿宋_GB2312" w:cs="仿宋_GB2312"/>
          <w:sz w:val="32"/>
          <w:szCs w:val="32"/>
        </w:rPr>
        <w:t>要求电缆穿管保护，但无独立回路强制要求，</w:t>
      </w:r>
      <w:r>
        <w:rPr>
          <w:rFonts w:hint="eastAsia" w:ascii="仿宋_GB2312" w:hAnsi="仿宋_GB2312" w:eastAsia="仿宋_GB2312" w:cs="仿宋_GB2312"/>
          <w:sz w:val="32"/>
          <w:szCs w:val="32"/>
          <w:lang w:eastAsia="zh-CN"/>
        </w:rPr>
        <w:t>DL 5027-2015</w:t>
      </w:r>
      <w:r>
        <w:rPr>
          <w:rFonts w:hint="eastAsia" w:ascii="仿宋_GB2312" w:hAnsi="仿宋_GB2312" w:eastAsia="仿宋_GB2312" w:cs="仿宋_GB2312"/>
          <w:sz w:val="32"/>
          <w:szCs w:val="32"/>
        </w:rPr>
        <w:t>要求漏电保护每月进行试验，无100mA限值，并且无故障电弧监测要求。考虑到充电设备长期高负荷运行，电气故障概率高，要求设置独立专用回路来避免干扰、便于及时切断；通过对漏电保护提出要求来提升漏电动作的灵敏度，增加对电弧故障的监测，及时发现电气火灾隐患。</w:t>
      </w:r>
    </w:p>
    <w:p w14:paraId="4141EA66">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四、主要制定进程及预期效果</w:t>
      </w:r>
    </w:p>
    <w:p w14:paraId="18CA0F51">
      <w:pPr>
        <w:spacing w:after="0" w:line="560" w:lineRule="exact"/>
        <w:ind w:firstLine="640" w:firstLineChars="200"/>
        <w:rPr>
          <w:rFonts w:hint="eastAsia" w:ascii="仿宋" w:hAnsi="仿宋" w:eastAsia="仿宋_GB2312" w:cs="仿宋"/>
          <w:b/>
          <w:bCs/>
          <w:sz w:val="32"/>
          <w:szCs w:val="32"/>
        </w:rPr>
      </w:pPr>
      <w:r>
        <w:rPr>
          <w:rFonts w:hint="eastAsia" w:ascii="楷体" w:hAnsi="楷体" w:eastAsia="楷体" w:cs="楷体"/>
          <w:sz w:val="32"/>
          <w:szCs w:val="32"/>
        </w:rPr>
        <w:t>（一）调研阶段（</w:t>
      </w:r>
      <w:r>
        <w:rPr>
          <w:rFonts w:hint="eastAsia" w:ascii="仿宋_GB2312" w:hAnsi="仿宋_GB2312" w:eastAsia="仿宋_GB2312" w:cs="仿宋_GB2312"/>
          <w:sz w:val="32"/>
          <w:szCs w:val="32"/>
        </w:rPr>
        <w:t>2025年9月-11月）</w:t>
      </w:r>
    </w:p>
    <w:p w14:paraId="1ABA5C1D">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蓝鲸高领（北京）标准化技术服务有限公司组织起草单位对建研防火科技有限公司提交的草案框架进行梳理，同时对现有相关标准展开分析，并结合标准化对象的实际情况补充了基础内容。11月初，组织蔚来能源等相关应用场景单位开展问卷调查，通过调查明确了实际存在的问题，进而有针对性地对立项草案进行调整，形成团体标准立项申请书，并正式申报立项。</w:t>
      </w:r>
    </w:p>
    <w:p w14:paraId="7A6C7529">
      <w:pPr>
        <w:spacing w:after="0" w:line="560" w:lineRule="exact"/>
        <w:ind w:firstLine="640" w:firstLineChars="200"/>
        <w:rPr>
          <w:rFonts w:hint="eastAsia" w:ascii="楷体" w:hAnsi="楷体" w:eastAsia="仿宋_GB2312" w:cs="楷体"/>
          <w:sz w:val="32"/>
          <w:szCs w:val="32"/>
        </w:rPr>
      </w:pPr>
      <w:r>
        <w:rPr>
          <w:rFonts w:hint="eastAsia" w:ascii="楷体" w:hAnsi="楷体" w:eastAsia="楷体" w:cs="楷体"/>
          <w:sz w:val="32"/>
          <w:szCs w:val="32"/>
        </w:rPr>
        <w:t>（二）立项阶段（</w:t>
      </w:r>
      <w:r>
        <w:rPr>
          <w:rFonts w:hint="eastAsia" w:ascii="仿宋_GB2312" w:hAnsi="仿宋_GB2312" w:eastAsia="仿宋_GB2312" w:cs="仿宋_GB2312"/>
          <w:sz w:val="32"/>
          <w:szCs w:val="32"/>
        </w:rPr>
        <w:t>2025年12月）</w:t>
      </w:r>
    </w:p>
    <w:p w14:paraId="2DD7A1AD">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1日，协会组织召开团标立项评审会，由原中国人民武装警察部队学院陈南教授、原北京市应急局赵英然高工、北京科技大学周亮教授、中国人民警察大学侯耀华教授、中国消防救援学院郑斌教授组成评审专家组，对团标进行立项评审。经评审，专家组一致同意标准立项，确定标准名称为《电动汽车停放充电场所消防安全导则》。12月9日，协会正式对外发布《电动汽车停放充电场所消防安全导则团体标准制定计划》。</w:t>
      </w:r>
    </w:p>
    <w:p w14:paraId="44624662">
      <w:pPr>
        <w:spacing w:after="0"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（三）起草阶段（</w:t>
      </w:r>
      <w:r>
        <w:rPr>
          <w:rFonts w:hint="eastAsia" w:ascii="仿宋_GB2312" w:hAnsi="仿宋_GB2312" w:eastAsia="仿宋_GB2312" w:cs="仿宋_GB2312"/>
          <w:sz w:val="32"/>
          <w:szCs w:val="32"/>
        </w:rPr>
        <w:t>2026年1月-5月）</w:t>
      </w:r>
    </w:p>
    <w:p w14:paraId="093303F5">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1.2026年1月28日，协会组织全体编制组成员召开第一次工作会议，参会单位21家。会议共处理意见16条，其中采纳14条，未采纳2条；主要内容包括：</w:t>
      </w:r>
    </w:p>
    <w:p w14:paraId="052B8621">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消防设施配置讨论。讨论了自动喷水灭火系统的喷头布置方案，包括上方和下方喷头的优缺点及维护问题。建议在车位上方增设高压细水雾喷头，通过物理隔离防止火势蔓延。提出了移动式喷头设计方案，火灾时喷头从上方释放至下方喷水，避免日常维护问题。</w:t>
      </w:r>
    </w:p>
    <w:p w14:paraId="71C55556">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灭火毯与防火分隔装置讨论了灭火毯的尺寸（3米×4米）和材质问题，建议改为“灭火毯”并明确其主要用于隔离周边车辆而非直接灭火。提出了新型防火分隔装置，如移动伸缩防火墙和底部喷淋系统，可在13秒内完成隔离。</w:t>
      </w:r>
    </w:p>
    <w:p w14:paraId="3A67AAAB">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（3）火灾监测与报警系统建议采用多信号探测器（烟雾、温度、一氧化碳）提高报警准确性，避免高灵敏单信号探测器的误报问题。可燃气体探测器需定期维护和更换，寿命约两年，否则可能失效。</w:t>
      </w:r>
    </w:p>
    <w:p w14:paraId="360B47A6">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（4）排烟与应急疏散建议增加排烟量至现有标准的1.5倍，因新能源汽车火灾产生的烟气和毒性物质更多。需补充应急疏散管理内容，包括车辆和人员疏散流程，避免火灾现场混乱。</w:t>
      </w:r>
    </w:p>
    <w:p w14:paraId="69C889DD">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2.2026年4月15日，协会组织召开全体标准组第成员单位第二次工作会议，参会单位27家。会议处理意见33条，均采纳。主要内容包括：</w:t>
      </w:r>
    </w:p>
    <w:p w14:paraId="4D5DC5F7">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（1）自动喷水灭火系统选型。否决快速响应喷头：针对“采用快速响应喷头”建议，专家指出电动汽车火灾功率高达6MW，远超汽油车，普通喷头即可满足驱动需求，且</w:t>
      </w:r>
      <w:r>
        <w:rPr>
          <w:rFonts w:hint="eastAsia" w:ascii="仿宋_GB2312" w:hAnsi="仿宋_GB2312" w:eastAsia="仿宋_GB2312" w:cs="仿宋_GB2312"/>
          <w:sz w:val="32"/>
          <w:szCs w:val="32"/>
          <w:lang w:eastAsia="zh-CN"/>
        </w:rPr>
        <w:t>GB 50067-2014</w:t>
      </w:r>
      <w:r>
        <w:rPr>
          <w:rFonts w:hint="eastAsia" w:ascii="仿宋_GB2312" w:hAnsi="仿宋_GB2312" w:eastAsia="仿宋_GB2312" w:cs="仿宋_GB2312"/>
          <w:sz w:val="32"/>
          <w:szCs w:val="32"/>
        </w:rPr>
        <w:t>未强制要求快速响应喷头，强行使用会增加系统投资且无必要。</w:t>
      </w:r>
    </w:p>
    <w:p w14:paraId="2180770A">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底部喷淋可行性探讨：针对“车位下方增设喷头”建议，会议认为技术上可行（如从上方降下喷头），但需考虑施工便利性与成本，最终决定在标准中不做强制要求，留待工程应用时选择。</w:t>
      </w:r>
    </w:p>
    <w:p w14:paraId="58637A19">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（2）灭火介质与移动设备。新型灭火介质暂缓明确：针对“增设高压细水雾或特定试剂喷淋系统”建议，会议认为目前缺乏统一的官方术语和成熟验证，暂不直接明确具体介质，待提供实验验证资料后再议。</w:t>
      </w:r>
    </w:p>
    <w:p w14:paraId="7B4FE526">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移动灭火装置验证：针对“配备60升推车式水基灭火器”建议，会议认为需进一步评估现场挪动可行性及实际应用效果，要求提供实际应用案例资料。</w:t>
      </w:r>
    </w:p>
    <w:p w14:paraId="4316DB5D">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（3）隔离处置单元定义与规模。单元定义与结构：明确“隔离处置单元”旨在阻止火灾快速扩散，不强制要求具备维护结构，但须具备一定的耐火隔热能力（建议0.5至1.5小时），为消防救援提供时间和空间。</w:t>
      </w:r>
    </w:p>
    <w:p w14:paraId="5EEA62AA">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单元规模控制：针对“每组不宜超过12个车位”的表述，建议将“不宜”调整为“不应”，并建议将火灾规模控制在30MW以内（约5-6辆车），以降低火灾风险。</w:t>
      </w:r>
    </w:p>
    <w:p w14:paraId="60D7F277">
      <w:pPr>
        <w:numPr>
          <w:ilvl w:val="0"/>
          <w:numId w:val="5"/>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灭火毯（控火毯）技术应用。应用场景与技术分歧：针对“主动灭火毯”和“自动控火系统”，会议认为需区分开放式与封闭式停车场的应用差异，并考虑非专业人员操作的可行性。</w:t>
      </w:r>
    </w:p>
    <w:p w14:paraId="577DAFD9">
      <w:pPr>
        <w:numPr>
          <w:ilvl w:val="0"/>
          <w:numId w:val="5"/>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因标准内容主要从技术参数角度出发，标准</w:t>
      </w:r>
      <w:r>
        <w:rPr>
          <w:rFonts w:hint="eastAsia" w:ascii="仿宋_GB2312" w:hAnsi="仿宋_GB2312" w:eastAsia="仿宋_GB2312" w:cs="仿宋_GB2312"/>
          <w:sz w:val="32"/>
          <w:szCs w:val="32"/>
          <w:lang w:eastAsia="zh-Hans"/>
        </w:rPr>
        <w:t>名称更改为《电动汽车停放充电场所消防技术导则》</w:t>
      </w:r>
      <w:r>
        <w:rPr>
          <w:rFonts w:hint="eastAsia" w:ascii="仿宋_GB2312" w:hAnsi="仿宋_GB2312" w:eastAsia="仿宋_GB2312" w:cs="仿宋_GB2312"/>
          <w:sz w:val="32"/>
          <w:szCs w:val="32"/>
        </w:rPr>
        <w:t>团体标准</w:t>
      </w:r>
      <w:r>
        <w:rPr>
          <w:rFonts w:hint="eastAsia" w:ascii="仿宋_GB2312" w:hAnsi="仿宋_GB2312" w:eastAsia="仿宋_GB2312" w:cs="仿宋_GB2312"/>
          <w:sz w:val="32"/>
          <w:szCs w:val="32"/>
          <w:lang w:eastAsia="zh-Hans"/>
        </w:rPr>
        <w:t>。</w:t>
      </w:r>
    </w:p>
    <w:p w14:paraId="0BCFF1E6">
      <w:pPr>
        <w:spacing w:after="0" w:line="560" w:lineRule="exact"/>
        <w:ind w:firstLine="640" w:firstLineChars="200"/>
        <w:rPr>
          <w:rFonts w:hint="eastAsia" w:ascii="楷体" w:hAnsi="楷体" w:eastAsia="仿宋_GB2312" w:cs="楷体"/>
          <w:sz w:val="32"/>
          <w:szCs w:val="32"/>
        </w:rPr>
      </w:pPr>
      <w:r>
        <w:rPr>
          <w:rFonts w:hint="eastAsia" w:ascii="楷体" w:hAnsi="楷体" w:eastAsia="楷体" w:cs="楷体"/>
          <w:sz w:val="32"/>
          <w:szCs w:val="32"/>
        </w:rPr>
        <w:t>（四）征求意见阶段（</w:t>
      </w:r>
      <w:r>
        <w:rPr>
          <w:rFonts w:hint="eastAsia" w:ascii="仿宋_GB2312" w:hAnsi="仿宋_GB2312" w:eastAsia="仿宋_GB2312" w:cs="仿宋_GB2312"/>
          <w:sz w:val="32"/>
          <w:szCs w:val="32"/>
        </w:rPr>
        <w:t>2026年5-6月）</w:t>
      </w:r>
    </w:p>
    <w:p w14:paraId="437FC4C5">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形成《电动汽车停放充电场所消防技术导则》团体标准（征求意见稿），面向社会公开征求意见。</w:t>
      </w:r>
    </w:p>
    <w:p w14:paraId="17AC8698">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五、采用国际标准和国外先进标准的程度，以及与国际、国外同类标准水平的对比情况。</w:t>
      </w:r>
    </w:p>
    <w:p w14:paraId="50B44491">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本标准没有采用国际标准，本标准制定过程中未查到同类国际、国外标准。</w:t>
      </w:r>
    </w:p>
    <w:p w14:paraId="2EB7563A">
      <w:pPr>
        <w:numPr>
          <w:ilvl w:val="0"/>
          <w:numId w:val="6"/>
        </w:num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标准修订原则和依据，与有关的现行法律法规和强制性国家标准的关系</w:t>
      </w:r>
    </w:p>
    <w:p w14:paraId="4A73C9F5">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本标准与现行法律法规及强制性国家标准呈“层级衔接、互补适配”关系，严格遵循“不冲突、强衔接、补短板”原则构建内容体系。</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以法律为根本遵循，全面对标《中华人民共和国消防法》《中华人民共和国安全生产法》，将法律中“预防为主、防消结合”的方针转化为停放场所产权方、运营方的具体责任，细化火灾预防、应急处置等义务条款，确保法律要求落地见效。</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以强制性国标为核心基础，依托《汽车库、修车库、停车场设计防火规范》</w:t>
      </w:r>
      <w:r>
        <w:rPr>
          <w:rFonts w:hint="eastAsia" w:ascii="仿宋_GB2312" w:hAnsi="仿宋_GB2312" w:eastAsia="仿宋_GB2312" w:cs="仿宋_GB2312"/>
          <w:sz w:val="32"/>
          <w:szCs w:val="32"/>
          <w:lang w:eastAsia="zh-CN"/>
        </w:rPr>
        <w:t>GB 50067-2014</w:t>
      </w:r>
      <w:r>
        <w:rPr>
          <w:rFonts w:hint="eastAsia" w:ascii="仿宋_GB2312" w:hAnsi="仿宋_GB2312" w:eastAsia="仿宋_GB2312" w:cs="仿宋_GB2312"/>
          <w:sz w:val="32"/>
          <w:szCs w:val="32"/>
        </w:rPr>
        <w:t>现有标准，针对电池热失控防控等国标未覆盖的细节补充措施，形成“法律引领、法规适配、国标支撑”的完整衔接体系，在编制中同步合规审查，杜绝冲突。</w:t>
      </w:r>
    </w:p>
    <w:p w14:paraId="5717A281">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七、重大意见分歧的处理经过和依据</w:t>
      </w:r>
    </w:p>
    <w:p w14:paraId="40C21B49">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本标准制定过程中，如出现重大意见分歧，将征求主管部门、行业会员、物业行业管理、停车等行业协会及社会单位的意见，对反映突出和确实存在的问题进行专项研究，通过专家评审的方式处理解决。</w:t>
      </w:r>
    </w:p>
    <w:p w14:paraId="719D92FD">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八、标准中涉及专利情况</w:t>
      </w:r>
    </w:p>
    <w:p w14:paraId="451CDB16">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本标准不涉及专利，无知识产权纠纷。</w:t>
      </w:r>
    </w:p>
    <w:p w14:paraId="7F0DB979">
      <w:pPr>
        <w:widowControl/>
        <w:spacing w:after="0"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九、实施团体标准的要求和措施建议</w:t>
      </w:r>
    </w:p>
    <w:p w14:paraId="4C915908">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（一）本标准的实施将在北京消防协会的指导下，由编制组组成专家团队，在北京市范围内开展</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次宣贯培训。</w:t>
      </w:r>
    </w:p>
    <w:p w14:paraId="7F116E54">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（二）标准发布后将充分利用协会微信公众号、官网等媒体进行重点内容的解读。</w:t>
      </w:r>
    </w:p>
    <w:p w14:paraId="5AC29855">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（三）标准发布后，北京消防协会作为标准提出和归口单位，将对标准的实施情况进行收集和整理，适时评估其实际效用。</w:t>
      </w:r>
    </w:p>
    <w:p w14:paraId="765ACC9E">
      <w:pPr>
        <w:widowControl/>
        <w:spacing w:after="0"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十、代替或废止现行有关标准的建议</w:t>
      </w:r>
    </w:p>
    <w:p w14:paraId="1468BE24">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34B26DAC">
      <w:pPr>
        <w:widowControl/>
        <w:spacing w:line="560" w:lineRule="exact"/>
        <w:jc w:val="left"/>
        <w:rPr>
          <w:rFonts w:hint="eastAsia" w:ascii="黑体" w:hAnsi="黑体" w:eastAsia="黑体" w:cs="黑体"/>
          <w:b/>
          <w:bCs w:val="0"/>
          <w:sz w:val="32"/>
          <w:szCs w:val="32"/>
          <w:lang w:val="en-US" w:eastAsia="zh-CN"/>
        </w:rPr>
      </w:pPr>
    </w:p>
    <w:sectPr>
      <w:footerReference r:id="rId3" w:type="default"/>
      <w:pgSz w:w="11906" w:h="16838"/>
      <w:pgMar w:top="2154" w:right="1529"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5820423"/>
    </w:sdtPr>
    <w:sdtContent>
      <w:sdt>
        <w:sdtPr>
          <w:id w:val="2"/>
        </w:sdtPr>
        <w:sdtContent>
          <w:p w14:paraId="22907ACF">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BC41192">
    <w:pPr>
      <w:pStyle w:val="4"/>
    </w:pPr>
  </w:p>
  <w:p w14:paraId="4BE2D49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74398"/>
    <w:multiLevelType w:val="singleLevel"/>
    <w:tmpl w:val="DBE74398"/>
    <w:lvl w:ilvl="0" w:tentative="0">
      <w:start w:val="4"/>
      <w:numFmt w:val="decimal"/>
      <w:suff w:val="nothing"/>
      <w:lvlText w:val="（%1）"/>
      <w:lvlJc w:val="left"/>
    </w:lvl>
  </w:abstractNum>
  <w:abstractNum w:abstractNumId="1">
    <w:nsid w:val="EE193CA0"/>
    <w:multiLevelType w:val="singleLevel"/>
    <w:tmpl w:val="EE193CA0"/>
    <w:lvl w:ilvl="0" w:tentative="0">
      <w:start w:val="1"/>
      <w:numFmt w:val="chineseCounting"/>
      <w:suff w:val="nothing"/>
      <w:lvlText w:val="（%1）"/>
      <w:lvlJc w:val="left"/>
      <w:rPr>
        <w:rFonts w:hint="eastAsia"/>
      </w:rPr>
    </w:lvl>
  </w:abstractNum>
  <w:abstractNum w:abstractNumId="2">
    <w:nsid w:val="FBF159CD"/>
    <w:multiLevelType w:val="singleLevel"/>
    <w:tmpl w:val="FBF159CD"/>
    <w:lvl w:ilvl="0" w:tentative="0">
      <w:start w:val="1"/>
      <w:numFmt w:val="chineseCounting"/>
      <w:suff w:val="nothing"/>
      <w:lvlText w:val="（%1）"/>
      <w:lvlJc w:val="left"/>
      <w:rPr>
        <w:rFonts w:hint="eastAsia" w:ascii="楷体" w:hAnsi="楷体" w:eastAsia="楷体" w:cs="楷体"/>
        <w:sz w:val="32"/>
        <w:szCs w:val="32"/>
      </w:rPr>
    </w:lvl>
  </w:abstractNum>
  <w:abstractNum w:abstractNumId="3">
    <w:nsid w:val="1337097B"/>
    <w:multiLevelType w:val="singleLevel"/>
    <w:tmpl w:val="1337097B"/>
    <w:lvl w:ilvl="0" w:tentative="0">
      <w:start w:val="1"/>
      <w:numFmt w:val="chineseCounting"/>
      <w:suff w:val="nothing"/>
      <w:lvlText w:val="%1、"/>
      <w:lvlJc w:val="left"/>
      <w:rPr>
        <w:rFonts w:hint="eastAsia"/>
      </w:rPr>
    </w:lvl>
  </w:abstractNum>
  <w:abstractNum w:abstractNumId="4">
    <w:nsid w:val="1A354EE8"/>
    <w:multiLevelType w:val="singleLevel"/>
    <w:tmpl w:val="1A354EE8"/>
    <w:lvl w:ilvl="0" w:tentative="0">
      <w:start w:val="6"/>
      <w:numFmt w:val="chineseCounting"/>
      <w:suff w:val="nothing"/>
      <w:lvlText w:val="%1、"/>
      <w:lvlJc w:val="left"/>
      <w:rPr>
        <w:rFonts w:hint="eastAsia"/>
      </w:rPr>
    </w:lvl>
  </w:abstractNum>
  <w:abstractNum w:abstractNumId="5">
    <w:nsid w:val="69983798"/>
    <w:multiLevelType w:val="singleLevel"/>
    <w:tmpl w:val="69983798"/>
    <w:lvl w:ilvl="0" w:tentative="0">
      <w:start w:val="5"/>
      <w:numFmt w:val="chineseCounting"/>
      <w:suff w:val="nothing"/>
      <w:lvlText w:val="（%1）"/>
      <w:lvlJc w:val="left"/>
      <w:rPr>
        <w:rFonts w:hint="eastAsia" w:ascii="楷体" w:hAnsi="楷体" w:eastAsia="楷体" w:cs="楷体"/>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Y2JmODMwOGQyZjE1MzY5MmYwOWU1ZGVjZTNiMjAifQ=="/>
  </w:docVars>
  <w:rsids>
    <w:rsidRoot w:val="DF7D4C33"/>
    <w:rsid w:val="00061683"/>
    <w:rsid w:val="000843B6"/>
    <w:rsid w:val="000A0239"/>
    <w:rsid w:val="000C117D"/>
    <w:rsid w:val="000C71FD"/>
    <w:rsid w:val="000F5D97"/>
    <w:rsid w:val="0011236E"/>
    <w:rsid w:val="00112E40"/>
    <w:rsid w:val="00116A79"/>
    <w:rsid w:val="00155C24"/>
    <w:rsid w:val="00180D4D"/>
    <w:rsid w:val="001B1D6F"/>
    <w:rsid w:val="001B279E"/>
    <w:rsid w:val="001C38FC"/>
    <w:rsid w:val="00250E23"/>
    <w:rsid w:val="00257079"/>
    <w:rsid w:val="00287CF3"/>
    <w:rsid w:val="002A042F"/>
    <w:rsid w:val="002A7BEF"/>
    <w:rsid w:val="002B0FBB"/>
    <w:rsid w:val="003013CF"/>
    <w:rsid w:val="00334320"/>
    <w:rsid w:val="003369E4"/>
    <w:rsid w:val="00352A2A"/>
    <w:rsid w:val="00370C65"/>
    <w:rsid w:val="003B5D84"/>
    <w:rsid w:val="004B0AF4"/>
    <w:rsid w:val="004D103A"/>
    <w:rsid w:val="004E11B2"/>
    <w:rsid w:val="004E2836"/>
    <w:rsid w:val="005430AA"/>
    <w:rsid w:val="005A497B"/>
    <w:rsid w:val="005D4F12"/>
    <w:rsid w:val="00604FE7"/>
    <w:rsid w:val="006342CC"/>
    <w:rsid w:val="00696B15"/>
    <w:rsid w:val="006C06FF"/>
    <w:rsid w:val="006C5A9C"/>
    <w:rsid w:val="0073476C"/>
    <w:rsid w:val="00747ED6"/>
    <w:rsid w:val="00756EE0"/>
    <w:rsid w:val="00760197"/>
    <w:rsid w:val="00796312"/>
    <w:rsid w:val="007B0672"/>
    <w:rsid w:val="007E19D0"/>
    <w:rsid w:val="007F6E9E"/>
    <w:rsid w:val="00824998"/>
    <w:rsid w:val="008439E4"/>
    <w:rsid w:val="00855EA3"/>
    <w:rsid w:val="00872AD6"/>
    <w:rsid w:val="008808C8"/>
    <w:rsid w:val="008B538E"/>
    <w:rsid w:val="008E334A"/>
    <w:rsid w:val="009578E2"/>
    <w:rsid w:val="009A19A6"/>
    <w:rsid w:val="009B5EB7"/>
    <w:rsid w:val="009E22CE"/>
    <w:rsid w:val="009E7AE6"/>
    <w:rsid w:val="00A30ACE"/>
    <w:rsid w:val="00A607DE"/>
    <w:rsid w:val="00AB1385"/>
    <w:rsid w:val="00AE651D"/>
    <w:rsid w:val="00AE656F"/>
    <w:rsid w:val="00AF339A"/>
    <w:rsid w:val="00B11269"/>
    <w:rsid w:val="00B15BCD"/>
    <w:rsid w:val="00B24B0C"/>
    <w:rsid w:val="00B468E5"/>
    <w:rsid w:val="00B51F47"/>
    <w:rsid w:val="00B75DE2"/>
    <w:rsid w:val="00B91019"/>
    <w:rsid w:val="00BA5731"/>
    <w:rsid w:val="00BC125A"/>
    <w:rsid w:val="00C04DA1"/>
    <w:rsid w:val="00C41BFF"/>
    <w:rsid w:val="00CB46BB"/>
    <w:rsid w:val="00CD7C23"/>
    <w:rsid w:val="00CF09D9"/>
    <w:rsid w:val="00D622A0"/>
    <w:rsid w:val="00D70AD0"/>
    <w:rsid w:val="00D820BD"/>
    <w:rsid w:val="00DE6E24"/>
    <w:rsid w:val="00E10D0D"/>
    <w:rsid w:val="00E3445D"/>
    <w:rsid w:val="00E46C85"/>
    <w:rsid w:val="00E47E9F"/>
    <w:rsid w:val="00E81CB0"/>
    <w:rsid w:val="00E84027"/>
    <w:rsid w:val="00EC0899"/>
    <w:rsid w:val="00ED45DE"/>
    <w:rsid w:val="00F0026F"/>
    <w:rsid w:val="00F521ED"/>
    <w:rsid w:val="00F93E32"/>
    <w:rsid w:val="00FA27BB"/>
    <w:rsid w:val="01A54921"/>
    <w:rsid w:val="035C5D2F"/>
    <w:rsid w:val="03E43777"/>
    <w:rsid w:val="0B233DD0"/>
    <w:rsid w:val="190B4668"/>
    <w:rsid w:val="24F22195"/>
    <w:rsid w:val="25783FE5"/>
    <w:rsid w:val="3BBB3AA9"/>
    <w:rsid w:val="3F77122C"/>
    <w:rsid w:val="41C75A11"/>
    <w:rsid w:val="468E5682"/>
    <w:rsid w:val="46D85977"/>
    <w:rsid w:val="482B2CB3"/>
    <w:rsid w:val="50834C9F"/>
    <w:rsid w:val="55362FDF"/>
    <w:rsid w:val="5EFB5832"/>
    <w:rsid w:val="60D01906"/>
    <w:rsid w:val="62BF2C32"/>
    <w:rsid w:val="691E2818"/>
    <w:rsid w:val="6CA8248D"/>
    <w:rsid w:val="6CB6204C"/>
    <w:rsid w:val="735560D1"/>
    <w:rsid w:val="73A34EBF"/>
    <w:rsid w:val="73EA27DC"/>
    <w:rsid w:val="74CF6F45"/>
    <w:rsid w:val="793F53F5"/>
    <w:rsid w:val="9FFD7335"/>
    <w:rsid w:val="C5F5DC13"/>
    <w:rsid w:val="D3FF5906"/>
    <w:rsid w:val="DF7D4C33"/>
    <w:rsid w:val="DFFFB951"/>
    <w:rsid w:val="F8FF71E6"/>
    <w:rsid w:val="FEFFF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2"/>
      <w:szCs w:val="32"/>
    </w:rPr>
  </w:style>
  <w:style w:type="paragraph" w:styleId="3">
    <w:name w:val="Date"/>
    <w:basedOn w:val="1"/>
    <w:next w:val="1"/>
    <w:link w:val="14"/>
    <w:qFormat/>
    <w:uiPriority w:val="0"/>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rPr>
      <w:rFonts w:hint="eastAsia"/>
    </w:rPr>
  </w:style>
  <w:style w:type="character" w:styleId="9">
    <w:name w:val="Hyperlink"/>
    <w:basedOn w:val="8"/>
    <w:qFormat/>
    <w:uiPriority w:val="0"/>
    <w:rPr>
      <w:color w:val="0563C1" w:themeColor="hyperlink"/>
      <w:u w:val="single"/>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99"/>
    <w:rPr>
      <w:rFonts w:asciiTheme="minorHAnsi" w:hAnsiTheme="minorHAnsi" w:eastAsiaTheme="minorEastAsia" w:cstheme="minorBidi"/>
      <w:kern w:val="2"/>
      <w:sz w:val="18"/>
      <w:szCs w:val="18"/>
    </w:rPr>
  </w:style>
  <w:style w:type="character" w:customStyle="1" w:styleId="12">
    <w:name w:val="未处理的提及1"/>
    <w:basedOn w:val="8"/>
    <w:semiHidden/>
    <w:unhideWhenUsed/>
    <w:qFormat/>
    <w:uiPriority w:val="99"/>
    <w:rPr>
      <w:color w:val="605E5C"/>
      <w:shd w:val="clear" w:color="auto" w:fill="E1DFDD"/>
    </w:rPr>
  </w:style>
  <w:style w:type="paragraph" w:customStyle="1" w:styleId="13">
    <w:name w:val="列表段落1"/>
    <w:basedOn w:val="1"/>
    <w:qFormat/>
    <w:uiPriority w:val="34"/>
    <w:pPr>
      <w:ind w:firstLine="420" w:firstLineChars="200"/>
    </w:pPr>
    <w:rPr>
      <w:rFonts w:ascii="Calibri" w:hAnsi="Calibri" w:eastAsia="宋体" w:cs="Times New Roman"/>
      <w:szCs w:val="22"/>
    </w:rPr>
  </w:style>
  <w:style w:type="character" w:customStyle="1" w:styleId="14">
    <w:name w:val="日期 字符"/>
    <w:basedOn w:val="8"/>
    <w:link w:val="3"/>
    <w:qFormat/>
    <w:uiPriority w:val="0"/>
    <w:rPr>
      <w:rFonts w:asciiTheme="minorHAnsi" w:hAnsiTheme="minorHAnsi" w:eastAsiaTheme="minorEastAsia" w:cstheme="minorBidi"/>
      <w:kern w:val="2"/>
      <w:sz w:val="21"/>
      <w:szCs w:val="24"/>
    </w:rPr>
  </w:style>
  <w:style w:type="paragraph" w:customStyle="1" w:styleId="15">
    <w:name w:val="标准文件_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6339</Words>
  <Characters>6682</Characters>
  <Lines>3</Lines>
  <Paragraphs>1</Paragraphs>
  <TotalTime>22</TotalTime>
  <ScaleCrop>false</ScaleCrop>
  <LinksUpToDate>false</LinksUpToDate>
  <CharactersWithSpaces>6764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2022-05-10T17:01:00Z</dcterms:created>
  <dc:creator>edy</dc:creator>
  <cp:lastModifiedBy>李玉涛</cp:lastModifiedBy>
  <cp:lastPrinted>2023-05-08T09:08:00Z</cp:lastPrinted>
  <dcterms:modified xsi:type="dcterms:W3CDTF">2026-06-03T01:57:42Z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B76747DB1E5C44BB98B244FD8BB9DCDC_13</vt:lpwstr>
  </property>
  <property fmtid="{D5CDD505-2E9C-101B-9397-08002B2CF9AE}" pid="4" name="KSOTemplateDocerSaveRecord">
    <vt:lpwstr>eyJoZGlkIjoiZTVkZGJiNTVlZWQ5MjdhYTcxNGZmZWUzYTFlNDhlZDEiLCJ1c2VySWQiOiIyNTMxMjQxMTkifQ==</vt:lpwstr>
  </property>
</Properties>
</file>