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9"/>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3B6FE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6F056832">
            <w:pPr>
              <w:pStyle w:val="19"/>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3D7B3A14">
            <w:pPr>
              <w:pStyle w:val="19"/>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13.220.01</w:t>
            </w:r>
            <w:r>
              <w:rPr>
                <w:rFonts w:ascii="黑体" w:hAnsi="黑体" w:eastAsia="黑体"/>
                <w:sz w:val="21"/>
                <w:szCs w:val="21"/>
              </w:rPr>
              <w:fldChar w:fldCharType="end"/>
            </w:r>
            <w:bookmarkEnd w:id="0"/>
          </w:p>
        </w:tc>
      </w:tr>
      <w:tr w14:paraId="3BFA7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4F9B3C7B">
            <w:pPr>
              <w:pStyle w:val="19"/>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9"/>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7A4AEB20">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116C1414">
                  <w:pPr>
                    <w:pStyle w:val="52"/>
                    <w:framePr w:wrap="notBeside" w:vAnchor="page" w:hAnchor="page" w:x="1372" w:y="568"/>
                    <w:ind w:left="420" w:right="624"/>
                    <w:rPr>
                      <w:rFonts w:hint="eastAsia"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rPr>
                      <w:rFonts w:hint="eastAsia"/>
                    </w:rPr>
                    <w:t>BJXF</w:t>
                  </w:r>
                  <w:r>
                    <w:fldChar w:fldCharType="end"/>
                  </w:r>
                  <w:bookmarkEnd w:id="1"/>
                </w:p>
              </w:tc>
            </w:tr>
          </w:tbl>
          <w:p w14:paraId="272B1CBE">
            <w:pPr>
              <w:pStyle w:val="19"/>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C80</w:t>
            </w:r>
            <w:r>
              <w:rPr>
                <w:rFonts w:ascii="黑体" w:hAnsi="黑体" w:eastAsia="黑体"/>
                <w:sz w:val="21"/>
                <w:szCs w:val="21"/>
              </w:rPr>
              <w:fldChar w:fldCharType="end"/>
            </w:r>
            <w:bookmarkEnd w:id="2"/>
          </w:p>
        </w:tc>
      </w:tr>
    </w:tbl>
    <w:p w14:paraId="11D0CDC2">
      <w:pPr>
        <w:pStyle w:val="53"/>
        <w:framePr w:w="9639" w:h="624" w:hRule="exact" w:hSpace="181" w:vSpace="181" w:wrap="around" w:hAnchor="page" w:x="1305" w:y="2269"/>
        <w:rPr>
          <w:rFonts w:hint="eastAsia"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北京消防协会</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12723584">
      <w:pPr>
        <w:pStyle w:val="198"/>
        <w:framePr/>
      </w:pPr>
      <w:r>
        <w:t>T/</w:t>
      </w:r>
      <w:r>
        <w:fldChar w:fldCharType="begin">
          <w:ffData>
            <w:name w:val="文字1"/>
            <w:enabled/>
            <w:calcOnExit w:val="0"/>
            <w:textInput>
              <w:default w:val="XXX"/>
            </w:textInput>
          </w:ffData>
        </w:fldChar>
      </w:r>
      <w:bookmarkStart w:id="5" w:name="文字1"/>
      <w:r>
        <w:instrText xml:space="preserve"> FORMTEXT </w:instrText>
      </w:r>
      <w:r>
        <w:fldChar w:fldCharType="separate"/>
      </w:r>
      <w:r>
        <w:t>XXX</w:t>
      </w:r>
      <w:r>
        <w:fldChar w:fldCharType="end"/>
      </w:r>
      <w:bookmarkEnd w:id="5"/>
      <w:r>
        <w:t xml:space="preserve"> </w:t>
      </w:r>
      <w:r>
        <w:fldChar w:fldCharType="begin">
          <w:ffData>
            <w:name w:val="NSTD_CODE_F"/>
            <w:enabled/>
            <w:calcOnExit w:val="0"/>
            <w:textInput>
              <w:default w:val="XXXX"/>
            </w:textInput>
          </w:ffData>
        </w:fldChar>
      </w:r>
      <w:bookmarkStart w:id="6" w:name="NSTD_CODE_F"/>
      <w:r>
        <w:instrText xml:space="preserve"> FORMTEXT </w:instrText>
      </w:r>
      <w:r>
        <w:fldChar w:fldCharType="separate"/>
      </w:r>
      <w:r>
        <w:t>XXXX</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t>XXXX</w:t>
      </w:r>
      <w:r>
        <w:fldChar w:fldCharType="end"/>
      </w:r>
      <w:bookmarkEnd w:id="7"/>
    </w:p>
    <w:p w14:paraId="427BB89C">
      <w:pPr>
        <w:pStyle w:val="199"/>
        <w:framePr/>
        <w:rPr>
          <w:rFonts w:hint="eastAsia"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1F66003B">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27239CD2">
      <w:pPr>
        <w:pStyle w:val="53"/>
        <w:framePr w:w="9639" w:h="6976" w:hRule="exact" w:hSpace="0" w:vSpace="0" w:wrap="around" w:hAnchor="page" w:y="6408"/>
        <w:jc w:val="center"/>
        <w:rPr>
          <w:rFonts w:hint="eastAsia" w:ascii="黑体" w:hAnsi="黑体" w:eastAsia="黑体"/>
          <w:b w:val="0"/>
          <w:bCs w:val="0"/>
          <w:w w:val="100"/>
        </w:rPr>
      </w:pPr>
    </w:p>
    <w:p w14:paraId="1C43DF69">
      <w:pPr>
        <w:pStyle w:val="200"/>
        <w:framePr w:h="6974" w:hRule="exact" w:wrap="around" w:x="1419" w:anchorLock="1"/>
        <w:rPr>
          <w:rFonts w:hint="eastAsia"/>
        </w:rPr>
      </w:pPr>
      <w:r>
        <w:rPr>
          <w:rFonts w:hint="eastAsia"/>
        </w:rPr>
        <w:fldChar w:fldCharType="begin">
          <w:ffData>
            <w:name w:val="CSTD_NAME"/>
            <w:enabled/>
            <w:calcOnExit w:val="0"/>
            <w:textInput>
              <w:default w:val="电动汽车停放充电场所消防技术导则"/>
            </w:textInput>
          </w:ffData>
        </w:fldChar>
      </w:r>
      <w:bookmarkStart w:id="9" w:name="CSTD_NAME"/>
      <w:r>
        <w:rPr>
          <w:rFonts w:hint="eastAsia"/>
        </w:rPr>
        <w:instrText xml:space="preserve"> </w:instrText>
      </w:r>
      <w:r>
        <w:instrText xml:space="preserve">FORMTEXT</w:instrText>
      </w:r>
      <w:r>
        <w:rPr>
          <w:rFonts w:hint="eastAsia"/>
        </w:rPr>
        <w:instrText xml:space="preserve"> </w:instrText>
      </w:r>
      <w:r>
        <w:rPr>
          <w:rFonts w:hint="eastAsia"/>
        </w:rPr>
        <w:fldChar w:fldCharType="separate"/>
      </w:r>
      <w:r>
        <w:rPr>
          <w:rFonts w:hint="eastAsia"/>
        </w:rPr>
        <w:t>电动汽车停放充电场所消防技术导则</w:t>
      </w:r>
      <w:r>
        <w:rPr>
          <w:rFonts w:hint="eastAsia"/>
        </w:rPr>
        <w:fldChar w:fldCharType="end"/>
      </w:r>
      <w:bookmarkEnd w:id="9"/>
    </w:p>
    <w:p w14:paraId="72DE7EAE">
      <w:pPr>
        <w:framePr w:w="9639" w:h="6974" w:hRule="exact" w:wrap="around" w:vAnchor="page" w:hAnchor="page" w:x="1419" w:y="6408" w:anchorLock="1"/>
        <w:ind w:left="-1418"/>
      </w:pPr>
    </w:p>
    <w:p w14:paraId="6270F8E2">
      <w:pPr>
        <w:pStyle w:val="128"/>
        <w:framePr w:w="9639" w:h="6974" w:hRule="exact" w:wrap="around" w:vAnchor="page" w:hAnchor="page" w:x="1419" w:y="6408" w:anchorLock="1"/>
        <w:spacing w:before="440" w:after="160"/>
        <w:textAlignment w:val="bottom"/>
        <w:rPr>
          <w:rFonts w:eastAsia="黑体"/>
          <w:szCs w:val="28"/>
        </w:rPr>
      </w:pPr>
      <w:r>
        <w:rPr>
          <w:rFonts w:eastAsia="黑体"/>
          <w:szCs w:val="28"/>
        </w:rPr>
        <w:t>Technical Guidelines for Fire Prevention in Electric Vehicle Parking and Charging Areas</w:t>
      </w:r>
    </w:p>
    <w:p w14:paraId="0CDBB7CF">
      <w:pPr>
        <w:pStyle w:val="128"/>
        <w:framePr w:w="9639" w:h="6974" w:hRule="exact" w:wrap="around" w:vAnchor="page" w:hAnchor="page" w:x="1419" w:y="6408" w:anchorLock="1"/>
        <w:spacing w:before="440" w:after="160"/>
        <w:textAlignment w:val="bottom"/>
        <w:rPr>
          <w:sz w:val="24"/>
          <w:szCs w:val="28"/>
        </w:rPr>
      </w:pPr>
      <w:r>
        <w:rPr>
          <w:rFonts w:hint="eastAsia"/>
          <w:sz w:val="24"/>
          <w:szCs w:val="28"/>
        </w:rPr>
        <w:t>征求意见稿</w:t>
      </w:r>
    </w:p>
    <w:p w14:paraId="64273A57">
      <w:pPr>
        <w:pStyle w:val="128"/>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0"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0"/>
    </w:p>
    <w:p w14:paraId="4FF61A02">
      <w:pPr>
        <w:pStyle w:val="128"/>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1" w:name="下拉2"/>
      <w:r>
        <w:rPr>
          <w:b/>
          <w:sz w:val="21"/>
          <w:szCs w:val="28"/>
        </w:rPr>
        <w:instrText xml:space="preserve"> FORMDROPDOWN </w:instrText>
      </w:r>
      <w:r>
        <w:rPr>
          <w:b/>
          <w:sz w:val="21"/>
          <w:szCs w:val="28"/>
        </w:rPr>
        <w:fldChar w:fldCharType="separate"/>
      </w:r>
      <w:r>
        <w:rPr>
          <w:b/>
          <w:sz w:val="21"/>
          <w:szCs w:val="28"/>
        </w:rPr>
        <w:fldChar w:fldCharType="end"/>
      </w:r>
      <w:bookmarkEnd w:id="11"/>
    </w:p>
    <w:p w14:paraId="2F50A8FA">
      <w:pPr>
        <w:pStyle w:val="196"/>
        <w:framePr w:wrap="around" w:y="14176"/>
      </w:pPr>
      <w:r>
        <w:rPr>
          <w:rFonts w:ascii="黑体"/>
        </w:rPr>
        <w:fldChar w:fldCharType="begin">
          <w:ffData>
            <w:name w:val="PLSH_DATE_Y"/>
            <w:enabled/>
            <w:calcOnExit w:val="0"/>
            <w:textInput>
              <w:default w:val="XXXX"/>
              <w:maxLength w:val="4"/>
            </w:textInput>
          </w:ffData>
        </w:fldChar>
      </w:r>
      <w:bookmarkStart w:id="12" w:name="PLSH_DATE_Y"/>
      <w:r>
        <w:rPr>
          <w:rFonts w:ascii="黑体"/>
        </w:rPr>
        <w:instrText xml:space="preserve"> FORMTEXT </w:instrText>
      </w:r>
      <w:r>
        <w:rPr>
          <w:rFonts w:ascii="黑体"/>
        </w:rPr>
        <w:fldChar w:fldCharType="separate"/>
      </w:r>
      <w:r>
        <w:rPr>
          <w:rFonts w:hint="eastAsia" w:ascii="黑体"/>
        </w:rPr>
        <w:t>XXXX</w:t>
      </w:r>
      <w:r>
        <w:rPr>
          <w:rFonts w:ascii="黑体"/>
        </w:rPr>
        <w:fldChar w:fldCharType="end"/>
      </w:r>
      <w:bookmarkEnd w:id="12"/>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3"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3"/>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4"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4"/>
      <w:r>
        <w:rPr>
          <w:rFonts w:hint="eastAsia"/>
        </w:rPr>
        <w:t>发布</w:t>
      </w:r>
    </w:p>
    <w:p w14:paraId="446F4806">
      <w:pPr>
        <w:pStyle w:val="197"/>
        <w:framePr w:wrap="around" w:y="14176"/>
      </w:pPr>
      <w:r>
        <w:rPr>
          <w:rFonts w:ascii="黑体"/>
        </w:rPr>
        <w:fldChar w:fldCharType="begin">
          <w:ffData>
            <w:name w:val="CROT_DATE_Y"/>
            <w:enabled/>
            <w:calcOnExit w:val="0"/>
            <w:textInput>
              <w:default w:val="XXXX"/>
              <w:maxLength w:val="4"/>
            </w:textInput>
          </w:ffData>
        </w:fldChar>
      </w:r>
      <w:bookmarkStart w:id="15"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5"/>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6"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7"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7"/>
      <w:r>
        <w:rPr>
          <w:rFonts w:hint="eastAsia"/>
        </w:rPr>
        <w:t>实施</w:t>
      </w:r>
    </w:p>
    <w:p w14:paraId="7C2AF9C6">
      <w:pPr>
        <w:pStyle w:val="154"/>
        <w:framePr w:h="584" w:hRule="exact" w:hSpace="181" w:vSpace="181" w:wrap="around" w:y="14800"/>
        <w:rPr>
          <w:rFonts w:hint="eastAsia" w:hAnsi="黑体"/>
        </w:rPr>
      </w:pPr>
      <w:r>
        <w:rPr>
          <w:rFonts w:hAnsi="黑体"/>
          <w:w w:val="100"/>
          <w:sz w:val="28"/>
        </w:rPr>
        <w:fldChar w:fldCharType="begin">
          <w:ffData>
            <w:name w:val="fm"/>
            <w:enabled/>
            <w:calcOnExit w:val="0"/>
            <w:textInput/>
          </w:ffData>
        </w:fldChar>
      </w:r>
      <w:bookmarkStart w:id="18" w:name="fm"/>
      <w:r>
        <w:rPr>
          <w:rFonts w:hAnsi="黑体"/>
          <w:w w:val="100"/>
          <w:sz w:val="28"/>
        </w:rPr>
        <w:instrText xml:space="preserve"> FORMTEXT </w:instrText>
      </w:r>
      <w:r>
        <w:rPr>
          <w:rFonts w:hAnsi="黑体"/>
          <w:w w:val="100"/>
          <w:sz w:val="28"/>
        </w:rPr>
        <w:fldChar w:fldCharType="separate"/>
      </w:r>
      <w:r>
        <w:rPr>
          <w:rFonts w:hint="eastAsia" w:hAnsi="黑体"/>
          <w:w w:val="100"/>
          <w:sz w:val="28"/>
        </w:rPr>
        <w:t>北京消防协会</w:t>
      </w:r>
      <w:r>
        <w:rPr>
          <w:rFonts w:hAnsi="黑体"/>
          <w:w w:val="100"/>
          <w:sz w:val="28"/>
        </w:rPr>
        <w:fldChar w:fldCharType="end"/>
      </w:r>
      <w:bookmarkEnd w:id="18"/>
      <w:r>
        <w:rPr>
          <w:rFonts w:ascii="Times New Roman"/>
          <w:w w:val="100"/>
          <w:sz w:val="28"/>
        </w:rPr>
        <w:t>  </w:t>
      </w:r>
      <w:r>
        <w:rPr>
          <w:rStyle w:val="232"/>
          <w:rFonts w:hint="eastAsia" w:hAnsi="黑体"/>
          <w:position w:val="0"/>
        </w:rPr>
        <w:t>发</w:t>
      </w:r>
      <w:r>
        <w:rPr>
          <w:rStyle w:val="232"/>
          <w:rFonts w:hint="eastAsia" w:hAnsi="黑体"/>
          <w:spacing w:val="0"/>
          <w:position w:val="0"/>
        </w:rPr>
        <w:t>布</w:t>
      </w:r>
    </w:p>
    <w:p w14:paraId="543C110F">
      <w:pPr>
        <w:rPr>
          <w:rFonts w:hint="eastAsia"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192F152F">
      <w:pPr>
        <w:pStyle w:val="94"/>
        <w:spacing w:after="360"/>
      </w:pPr>
      <w:bookmarkStart w:id="19" w:name="BookMark1"/>
      <w:bookmarkStart w:id="20" w:name="_Toc219363903"/>
      <w:bookmarkStart w:id="21" w:name="_Toc219378811"/>
      <w:bookmarkStart w:id="22" w:name="_Toc226453377"/>
      <w:bookmarkStart w:id="23" w:name="_Toc226444314"/>
      <w:r>
        <w:rPr>
          <w:rFonts w:hint="eastAsia"/>
          <w:spacing w:val="320"/>
        </w:rPr>
        <w:t>目</w:t>
      </w:r>
      <w:r>
        <w:rPr>
          <w:rFonts w:hint="eastAsia"/>
        </w:rPr>
        <w:t>次</w:t>
      </w:r>
    </w:p>
    <w:p w14:paraId="14CEF9E7">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TOC \o "1-1" \h </w:instrText>
      </w:r>
      <w:r>
        <w:fldChar w:fldCharType="separate"/>
      </w:r>
      <w:r>
        <w:fldChar w:fldCharType="begin"/>
      </w:r>
      <w:r>
        <w:instrText xml:space="preserve"> HYPERLINK \l "_Toc229401473" </w:instrText>
      </w:r>
      <w:r>
        <w:fldChar w:fldCharType="separate"/>
      </w:r>
      <w:r>
        <w:rPr>
          <w:rStyle w:val="34"/>
        </w:rPr>
        <w:t>前言</w:t>
      </w:r>
      <w:r>
        <w:rPr>
          <w:rFonts w:hint="eastAsia"/>
        </w:rPr>
        <w:tab/>
      </w:r>
      <w:r>
        <w:rPr>
          <w:rFonts w:hint="eastAsia"/>
        </w:rPr>
        <w:fldChar w:fldCharType="begin"/>
      </w:r>
      <w:r>
        <w:rPr>
          <w:rFonts w:hint="eastAsia"/>
        </w:rPr>
        <w:instrText xml:space="preserve"> </w:instrText>
      </w:r>
      <w:r>
        <w:instrText xml:space="preserve">PAGEREF _Toc229401473 \h</w:instrText>
      </w:r>
      <w:r>
        <w:rPr>
          <w:rFonts w:hint="eastAsia"/>
        </w:rPr>
        <w:instrText xml:space="preserve"> </w:instrText>
      </w:r>
      <w:r>
        <w:rPr>
          <w:rFonts w:hint="eastAsia"/>
        </w:rPr>
        <w:fldChar w:fldCharType="separate"/>
      </w:r>
      <w:r>
        <w:t>II</w:t>
      </w:r>
      <w:r>
        <w:rPr>
          <w:rFonts w:hint="eastAsia"/>
        </w:rPr>
        <w:fldChar w:fldCharType="end"/>
      </w:r>
      <w:r>
        <w:rPr>
          <w:rFonts w:hint="eastAsia"/>
        </w:rPr>
        <w:fldChar w:fldCharType="end"/>
      </w:r>
    </w:p>
    <w:p w14:paraId="6355D261">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"_Toc229401474" </w:instrText>
      </w:r>
      <w:r>
        <w:fldChar w:fldCharType="separate"/>
      </w:r>
      <w:r>
        <w:rPr>
          <w:rStyle w:val="34"/>
        </w:rPr>
        <w:t>引言</w:t>
      </w:r>
      <w:r>
        <w:rPr>
          <w:rFonts w:hint="eastAsia"/>
        </w:rPr>
        <w:tab/>
      </w:r>
      <w:r>
        <w:rPr>
          <w:rFonts w:hint="eastAsia"/>
        </w:rPr>
        <w:fldChar w:fldCharType="begin"/>
      </w:r>
      <w:r>
        <w:rPr>
          <w:rFonts w:hint="eastAsia"/>
        </w:rPr>
        <w:instrText xml:space="preserve"> </w:instrText>
      </w:r>
      <w:r>
        <w:instrText xml:space="preserve">PAGEREF _Toc229401474 \h</w:instrText>
      </w:r>
      <w:r>
        <w:rPr>
          <w:rFonts w:hint="eastAsia"/>
        </w:rPr>
        <w:instrText xml:space="preserve"> </w:instrText>
      </w:r>
      <w:r>
        <w:rPr>
          <w:rFonts w:hint="eastAsia"/>
        </w:rPr>
        <w:fldChar w:fldCharType="separate"/>
      </w:r>
      <w:r>
        <w:t>III</w:t>
      </w:r>
      <w:r>
        <w:rPr>
          <w:rFonts w:hint="eastAsia"/>
        </w:rPr>
        <w:fldChar w:fldCharType="end"/>
      </w:r>
      <w:r>
        <w:rPr>
          <w:rFonts w:hint="eastAsia"/>
        </w:rPr>
        <w:fldChar w:fldCharType="end"/>
      </w:r>
    </w:p>
    <w:p w14:paraId="6E74CDAB">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"_Toc229401475" </w:instrText>
      </w:r>
      <w:r>
        <w:fldChar w:fldCharType="separate"/>
      </w:r>
      <w:r>
        <w:rPr>
          <w:rStyle w:val="34"/>
        </w:rPr>
        <w:t>1  范围</w:t>
      </w:r>
      <w:r>
        <w:rPr>
          <w:rFonts w:hint="eastAsia"/>
        </w:rPr>
        <w:tab/>
      </w:r>
      <w:r>
        <w:rPr>
          <w:rFonts w:hint="eastAsia"/>
        </w:rPr>
        <w:fldChar w:fldCharType="begin"/>
      </w:r>
      <w:r>
        <w:rPr>
          <w:rFonts w:hint="eastAsia"/>
        </w:rPr>
        <w:instrText xml:space="preserve"> </w:instrText>
      </w:r>
      <w:r>
        <w:instrText xml:space="preserve">PAGEREF _Toc229401475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120311AF">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"_Toc229401476" </w:instrText>
      </w:r>
      <w:r>
        <w:fldChar w:fldCharType="separate"/>
      </w:r>
      <w:r>
        <w:rPr>
          <w:rStyle w:val="34"/>
        </w:rPr>
        <w:t>2  规范性引用文件</w:t>
      </w:r>
      <w:r>
        <w:rPr>
          <w:rFonts w:hint="eastAsia"/>
        </w:rPr>
        <w:tab/>
      </w:r>
      <w:r>
        <w:rPr>
          <w:rFonts w:hint="eastAsia"/>
        </w:rPr>
        <w:fldChar w:fldCharType="begin"/>
      </w:r>
      <w:r>
        <w:rPr>
          <w:rFonts w:hint="eastAsia"/>
        </w:rPr>
        <w:instrText xml:space="preserve"> </w:instrText>
      </w:r>
      <w:r>
        <w:instrText xml:space="preserve">PAGEREF _Toc229401476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1ACA2418">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"_Toc229401477" </w:instrText>
      </w:r>
      <w:r>
        <w:fldChar w:fldCharType="separate"/>
      </w:r>
      <w:r>
        <w:rPr>
          <w:rStyle w:val="34"/>
        </w:rPr>
        <w:t>3  术语和定义</w:t>
      </w:r>
      <w:r>
        <w:rPr>
          <w:rFonts w:hint="eastAsia"/>
        </w:rPr>
        <w:tab/>
      </w:r>
      <w:r>
        <w:rPr>
          <w:rFonts w:hint="eastAsia"/>
        </w:rPr>
        <w:fldChar w:fldCharType="begin"/>
      </w:r>
      <w:r>
        <w:rPr>
          <w:rFonts w:hint="eastAsia"/>
        </w:rPr>
        <w:instrText xml:space="preserve"> </w:instrText>
      </w:r>
      <w:r>
        <w:instrText xml:space="preserve">PAGEREF _Toc229401477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57D76510">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"_Toc229401478" </w:instrText>
      </w:r>
      <w:r>
        <w:fldChar w:fldCharType="separate"/>
      </w:r>
      <w:r>
        <w:rPr>
          <w:rStyle w:val="34"/>
        </w:rPr>
        <w:t>4  基本要求</w:t>
      </w:r>
      <w:r>
        <w:rPr>
          <w:rFonts w:hint="eastAsia"/>
        </w:rPr>
        <w:tab/>
      </w:r>
      <w:r>
        <w:rPr>
          <w:rFonts w:hint="eastAsia"/>
        </w:rPr>
        <w:fldChar w:fldCharType="begin"/>
      </w:r>
      <w:r>
        <w:rPr>
          <w:rFonts w:hint="eastAsia"/>
        </w:rPr>
        <w:instrText xml:space="preserve"> </w:instrText>
      </w:r>
      <w:r>
        <w:instrText xml:space="preserve">PAGEREF _Toc229401478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7D4D076D">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"_Toc229401479" </w:instrText>
      </w:r>
      <w:r>
        <w:fldChar w:fldCharType="separate"/>
      </w:r>
      <w:r>
        <w:rPr>
          <w:rStyle w:val="34"/>
        </w:rPr>
        <w:t>5  区域布置</w:t>
      </w:r>
      <w:r>
        <w:rPr>
          <w:rFonts w:hint="eastAsia"/>
        </w:rPr>
        <w:tab/>
      </w:r>
      <w:r>
        <w:rPr>
          <w:rFonts w:hint="eastAsia"/>
        </w:rPr>
        <w:fldChar w:fldCharType="begin"/>
      </w:r>
      <w:r>
        <w:rPr>
          <w:rFonts w:hint="eastAsia"/>
        </w:rPr>
        <w:instrText xml:space="preserve"> </w:instrText>
      </w:r>
      <w:r>
        <w:instrText xml:space="preserve">PAGEREF _Toc229401479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0F22E107">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"_Toc229401480" </w:instrText>
      </w:r>
      <w:r>
        <w:fldChar w:fldCharType="separate"/>
      </w:r>
      <w:r>
        <w:rPr>
          <w:rStyle w:val="34"/>
        </w:rPr>
        <w:t>6  监测预警</w:t>
      </w:r>
      <w:r>
        <w:rPr>
          <w:rFonts w:hint="eastAsia"/>
        </w:rPr>
        <w:tab/>
      </w:r>
      <w:r>
        <w:rPr>
          <w:rFonts w:hint="eastAsia"/>
        </w:rPr>
        <w:fldChar w:fldCharType="begin"/>
      </w:r>
      <w:r>
        <w:rPr>
          <w:rFonts w:hint="eastAsia"/>
        </w:rPr>
        <w:instrText xml:space="preserve"> </w:instrText>
      </w:r>
      <w:r>
        <w:instrText xml:space="preserve">PAGEREF _Toc229401480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481F89E8">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"_Toc229401481" </w:instrText>
      </w:r>
      <w:r>
        <w:fldChar w:fldCharType="separate"/>
      </w:r>
      <w:r>
        <w:rPr>
          <w:rStyle w:val="34"/>
        </w:rPr>
        <w:t>7  灭火设施</w:t>
      </w:r>
      <w:r>
        <w:rPr>
          <w:rFonts w:hint="eastAsia"/>
        </w:rPr>
        <w:tab/>
      </w:r>
      <w:r>
        <w:rPr>
          <w:rFonts w:hint="eastAsia"/>
        </w:rPr>
        <w:fldChar w:fldCharType="begin"/>
      </w:r>
      <w:r>
        <w:rPr>
          <w:rFonts w:hint="eastAsia"/>
        </w:rPr>
        <w:instrText xml:space="preserve"> </w:instrText>
      </w:r>
      <w:r>
        <w:instrText xml:space="preserve">PAGEREF _Toc229401481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7CFA643E">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"_Toc229401482" </w:instrText>
      </w:r>
      <w:r>
        <w:fldChar w:fldCharType="separate"/>
      </w:r>
      <w:r>
        <w:rPr>
          <w:rStyle w:val="34"/>
        </w:rPr>
        <w:t>8  隔离处置</w:t>
      </w:r>
      <w:r>
        <w:rPr>
          <w:rFonts w:hint="eastAsia"/>
        </w:rPr>
        <w:tab/>
      </w:r>
      <w:r>
        <w:rPr>
          <w:rFonts w:hint="eastAsia"/>
        </w:rPr>
        <w:fldChar w:fldCharType="begin"/>
      </w:r>
      <w:r>
        <w:rPr>
          <w:rFonts w:hint="eastAsia"/>
        </w:rPr>
        <w:instrText xml:space="preserve"> </w:instrText>
      </w:r>
      <w:r>
        <w:instrText xml:space="preserve">PAGEREF _Toc229401482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2CE48BFF">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"_Toc229401483" </w:instrText>
      </w:r>
      <w:r>
        <w:fldChar w:fldCharType="separate"/>
      </w:r>
      <w:r>
        <w:rPr>
          <w:rStyle w:val="34"/>
        </w:rPr>
        <w:t>9  应急疏散</w:t>
      </w:r>
      <w:r>
        <w:rPr>
          <w:rFonts w:hint="eastAsia"/>
        </w:rPr>
        <w:tab/>
      </w:r>
      <w:r>
        <w:rPr>
          <w:rFonts w:hint="eastAsia"/>
        </w:rPr>
        <w:fldChar w:fldCharType="begin"/>
      </w:r>
      <w:r>
        <w:rPr>
          <w:rFonts w:hint="eastAsia"/>
        </w:rPr>
        <w:instrText xml:space="preserve"> </w:instrText>
      </w:r>
      <w:r>
        <w:instrText xml:space="preserve">PAGEREF _Toc229401483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14:paraId="56DB77A6">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"_Toc229401484" </w:instrText>
      </w:r>
      <w:r>
        <w:fldChar w:fldCharType="separate"/>
      </w:r>
      <w:r>
        <w:rPr>
          <w:rStyle w:val="34"/>
        </w:rPr>
        <w:t>10  运维管理</w:t>
      </w:r>
      <w:r>
        <w:rPr>
          <w:rFonts w:hint="eastAsia"/>
        </w:rPr>
        <w:tab/>
      </w:r>
      <w:r>
        <w:rPr>
          <w:rFonts w:hint="eastAsia"/>
        </w:rPr>
        <w:fldChar w:fldCharType="begin"/>
      </w:r>
      <w:r>
        <w:rPr>
          <w:rFonts w:hint="eastAsia"/>
        </w:rPr>
        <w:instrText xml:space="preserve"> </w:instrText>
      </w:r>
      <w:r>
        <w:instrText xml:space="preserve">PAGEREF _Toc229401484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14:paraId="3C89F61E">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"_Toc229401485" </w:instrText>
      </w:r>
      <w:r>
        <w:fldChar w:fldCharType="separate"/>
      </w:r>
      <w:r>
        <w:rPr>
          <w:rStyle w:val="34"/>
        </w:rPr>
        <w:t>附录A（资料性）  选址与布局的标准要求索引</w:t>
      </w:r>
      <w:r>
        <w:rPr>
          <w:rFonts w:hint="eastAsia"/>
        </w:rPr>
        <w:tab/>
      </w:r>
      <w:r>
        <w:rPr>
          <w:rFonts w:hint="eastAsia"/>
        </w:rPr>
        <w:fldChar w:fldCharType="begin"/>
      </w:r>
      <w:r>
        <w:rPr>
          <w:rFonts w:hint="eastAsia"/>
        </w:rPr>
        <w:instrText xml:space="preserve"> </w:instrText>
      </w:r>
      <w:r>
        <w:instrText xml:space="preserve">PAGEREF _Toc229401485 \h</w:instrText>
      </w:r>
      <w:r>
        <w:rPr>
          <w:rFonts w:hint="eastAsia"/>
        </w:rPr>
        <w:instrText xml:space="preserve"> </w:instrText>
      </w:r>
      <w:r>
        <w:rPr>
          <w:rFonts w:hint="eastAsia"/>
        </w:rPr>
        <w:fldChar w:fldCharType="separate"/>
      </w:r>
      <w:r>
        <w:t>9</w:t>
      </w:r>
      <w:r>
        <w:rPr>
          <w:rFonts w:hint="eastAsia"/>
        </w:rPr>
        <w:fldChar w:fldCharType="end"/>
      </w:r>
      <w:r>
        <w:rPr>
          <w:rFonts w:hint="eastAsia"/>
        </w:rPr>
        <w:fldChar w:fldCharType="end"/>
      </w:r>
    </w:p>
    <w:p w14:paraId="13B3BC6F">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"_Toc229401486" </w:instrText>
      </w:r>
      <w:r>
        <w:fldChar w:fldCharType="separate"/>
      </w:r>
      <w:r>
        <w:rPr>
          <w:rStyle w:val="34"/>
        </w:rPr>
        <w:t>参考文献</w:t>
      </w:r>
      <w:r>
        <w:rPr>
          <w:rFonts w:hint="eastAsia"/>
        </w:rPr>
        <w:tab/>
      </w:r>
      <w:r>
        <w:rPr>
          <w:rFonts w:hint="eastAsia"/>
        </w:rPr>
        <w:fldChar w:fldCharType="begin"/>
      </w:r>
      <w:r>
        <w:rPr>
          <w:rFonts w:hint="eastAsia"/>
        </w:rPr>
        <w:instrText xml:space="preserve"> </w:instrText>
      </w:r>
      <w:r>
        <w:instrText xml:space="preserve">PAGEREF _Toc229401486 \h</w:instrText>
      </w:r>
      <w:r>
        <w:rPr>
          <w:rFonts w:hint="eastAsia"/>
        </w:rPr>
        <w:instrText xml:space="preserve"> </w:instrText>
      </w:r>
      <w:r>
        <w:rPr>
          <w:rFonts w:hint="eastAsia"/>
        </w:rPr>
        <w:fldChar w:fldCharType="separate"/>
      </w:r>
      <w:r>
        <w:t>10</w:t>
      </w:r>
      <w:r>
        <w:rPr>
          <w:rFonts w:hint="eastAsia"/>
        </w:rPr>
        <w:fldChar w:fldCharType="end"/>
      </w:r>
      <w:r>
        <w:rPr>
          <w:rFonts w:hint="eastAsia"/>
        </w:rPr>
        <w:fldChar w:fldCharType="end"/>
      </w:r>
    </w:p>
    <w:p w14:paraId="414FA2D3">
      <w:pPr>
        <w:pStyle w:val="94"/>
        <w:spacing w:after="360"/>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19"/>
    <w:p w14:paraId="744A7655">
      <w:pPr>
        <w:pStyle w:val="92"/>
        <w:spacing w:before="560" w:after="360"/>
      </w:pPr>
      <w:bookmarkStart w:id="24" w:name="_Toc229401473"/>
      <w:bookmarkStart w:id="25" w:name="BookMark2"/>
      <w:r>
        <w:rPr>
          <w:rFonts w:hint="eastAsia"/>
          <w:spacing w:val="320"/>
        </w:rPr>
        <w:t>前</w:t>
      </w:r>
      <w:r>
        <w:rPr>
          <w:rFonts w:hint="eastAsia"/>
        </w:rPr>
        <w:t>言</w:t>
      </w:r>
      <w:bookmarkEnd w:id="20"/>
      <w:bookmarkEnd w:id="21"/>
      <w:bookmarkEnd w:id="22"/>
      <w:bookmarkEnd w:id="23"/>
      <w:bookmarkEnd w:id="24"/>
    </w:p>
    <w:p w14:paraId="5F78244B">
      <w:pPr>
        <w:pStyle w:val="59"/>
        <w:ind w:firstLine="420"/>
      </w:pPr>
      <w:r>
        <w:rPr>
          <w:rFonts w:hint="eastAsia"/>
        </w:rPr>
        <w:t>本文件按照GB/T 1.1—2020《标准化工作导则  第1部分：标准化文件的结构和起草规则》的规定起草。</w:t>
      </w:r>
    </w:p>
    <w:p w14:paraId="2DA855EC">
      <w:pPr>
        <w:pStyle w:val="59"/>
        <w:ind w:firstLine="420"/>
      </w:pPr>
      <w:r>
        <w:rPr>
          <w:rFonts w:hint="eastAsia"/>
        </w:rPr>
        <w:t>请注意本文件的某些内容可能涉及专利。本文件的发布机构不承担识别专利的责任。</w:t>
      </w:r>
    </w:p>
    <w:p w14:paraId="69F66D4D">
      <w:pPr>
        <w:pStyle w:val="59"/>
        <w:ind w:firstLine="420"/>
      </w:pPr>
      <w:r>
        <w:rPr>
          <w:rFonts w:hint="eastAsia"/>
        </w:rPr>
        <w:t>本文件由××××提出。</w:t>
      </w:r>
    </w:p>
    <w:p w14:paraId="0AB36F6E">
      <w:pPr>
        <w:pStyle w:val="59"/>
        <w:ind w:firstLine="420"/>
      </w:pPr>
      <w:r>
        <w:rPr>
          <w:rFonts w:hint="eastAsia"/>
        </w:rPr>
        <w:t>本文件由北京消防协会归口。</w:t>
      </w:r>
    </w:p>
    <w:p w14:paraId="7A5BB64C">
      <w:pPr>
        <w:pStyle w:val="59"/>
        <w:ind w:firstLine="420"/>
      </w:pPr>
      <w:r>
        <w:rPr>
          <w:rFonts w:hint="eastAsia"/>
        </w:rPr>
        <w:t>本文件起草单位：</w:t>
      </w:r>
    </w:p>
    <w:p w14:paraId="153C5BC9">
      <w:pPr>
        <w:pStyle w:val="59"/>
        <w:ind w:firstLine="420"/>
      </w:pPr>
      <w:r>
        <w:rPr>
          <w:rFonts w:hint="eastAsia"/>
        </w:rPr>
        <w:t>本文件主要起草人：</w:t>
      </w:r>
    </w:p>
    <w:p w14:paraId="5B1084D8">
      <w:pPr>
        <w:pStyle w:val="59"/>
        <w:ind w:firstLine="420"/>
      </w:pPr>
    </w:p>
    <w:p w14:paraId="6119B25E">
      <w:pPr>
        <w:pStyle w:val="59"/>
        <w:ind w:firstLine="420"/>
        <w:sectPr>
          <w:pgSz w:w="11906" w:h="16838"/>
          <w:pgMar w:top="1928" w:right="1134" w:bottom="1134" w:left="1134" w:header="1418" w:footer="1134" w:gutter="284"/>
          <w:pgNumType w:fmt="upperRoman"/>
          <w:cols w:space="425" w:num="1"/>
          <w:formProt w:val="0"/>
          <w:docGrid w:linePitch="312" w:charSpace="0"/>
        </w:sectPr>
      </w:pPr>
    </w:p>
    <w:bookmarkEnd w:id="25"/>
    <w:p w14:paraId="7DB98768">
      <w:pPr>
        <w:pStyle w:val="92"/>
        <w:spacing w:after="360"/>
      </w:pPr>
      <w:bookmarkStart w:id="26" w:name="_Toc226453378"/>
      <w:bookmarkStart w:id="27" w:name="_Toc229401474"/>
      <w:bookmarkStart w:id="28" w:name="_Toc226444315"/>
      <w:bookmarkStart w:id="29" w:name="_Toc219363904"/>
      <w:bookmarkStart w:id="30" w:name="_Toc219378812"/>
      <w:bookmarkStart w:id="31" w:name="BookMark3"/>
      <w:r>
        <w:rPr>
          <w:rFonts w:hint="eastAsia"/>
          <w:spacing w:val="320"/>
        </w:rPr>
        <w:t>引</w:t>
      </w:r>
      <w:r>
        <w:rPr>
          <w:rFonts w:hint="eastAsia"/>
        </w:rPr>
        <w:t>言</w:t>
      </w:r>
      <w:bookmarkEnd w:id="26"/>
      <w:bookmarkEnd w:id="27"/>
      <w:bookmarkEnd w:id="28"/>
      <w:bookmarkEnd w:id="29"/>
      <w:bookmarkEnd w:id="30"/>
    </w:p>
    <w:p w14:paraId="4EB53491">
      <w:pPr>
        <w:pStyle w:val="59"/>
        <w:ind w:firstLine="420"/>
      </w:pPr>
      <w:r>
        <w:rPr>
          <w:rFonts w:hint="eastAsia"/>
        </w:rPr>
        <w:t>近年来，我国新能源汽车产业高速发展，保有量持续快速增长，新能源汽车停放场所（含车库、充电站、专用停车场等）的数量与规模同步扩大。与此同时，新能源汽车因动力电池特性带来的热失控、电气故障等消防安全风险日益凸显，其火灾燃烧速度快、烟气毒性大、扑救难度高、易复燃等特点，对传统停放场所消防安全管理体系提出了严峻挑战。</w:t>
      </w:r>
    </w:p>
    <w:p w14:paraId="18AE6DE1">
      <w:pPr>
        <w:pStyle w:val="59"/>
        <w:ind w:firstLine="420"/>
      </w:pPr>
      <w:r>
        <w:rPr>
          <w:rFonts w:hint="eastAsia"/>
        </w:rPr>
        <w:t>当前，新能源汽车停放场所消防安全管理存在现有标准针对性不足、常规灭火设施对动力电池火灾处置效能有限、创新型消防产品应用缺乏统一规范等问题，制约了消防安全风险防控能力的提升。为有效防范化解新能源汽车停放场所消防安全风险，合理提升消防安全技术水平，统一灭火应急处置设施配置要求，依据《中华人民共和国消防法》《汽车库、修车库、停车场设计防火规范》（GB 50067）、《建筑灭火器配置设计规范》（GB 50140）等法律法规和相关国家标准，结合行业实践经验及创新型消防产品应用成果，制定本团体标准。</w:t>
      </w:r>
    </w:p>
    <w:p w14:paraId="79CE6D1B">
      <w:pPr>
        <w:pStyle w:val="59"/>
        <w:ind w:firstLine="420"/>
      </w:pPr>
      <w:r>
        <w:rPr>
          <w:rFonts w:hint="eastAsia"/>
        </w:rPr>
        <w:t>本标准规定了新能源汽车停放场所消防安全管理的基本要求、防火设计与设施配置、日常管理、应急处置等内容。本标准的制定与实施，旨在为新能源汽车停放场所消防安全管理提供科学、实用、可操作的技术依据，推动行业消防安全管理水平提升，促进新能源汽车产业健康可持续发展。</w:t>
      </w:r>
    </w:p>
    <w:p w14:paraId="5FAA14DE">
      <w:pPr>
        <w:pStyle w:val="59"/>
        <w:ind w:firstLine="420"/>
        <w:jc w:val="left"/>
      </w:pPr>
    </w:p>
    <w:p w14:paraId="1231708E">
      <w:pPr>
        <w:pStyle w:val="59"/>
        <w:ind w:firstLine="420"/>
        <w:sectPr>
          <w:pgSz w:w="11906" w:h="16838"/>
          <w:pgMar w:top="1928" w:right="1134" w:bottom="1134" w:left="1134" w:header="1418" w:footer="1134" w:gutter="284"/>
          <w:pgNumType w:fmt="upperRoman"/>
          <w:cols w:space="425" w:num="1"/>
          <w:formProt w:val="0"/>
          <w:docGrid w:linePitch="312" w:charSpace="0"/>
        </w:sectPr>
      </w:pPr>
    </w:p>
    <w:bookmarkEnd w:id="31"/>
    <w:p w14:paraId="4CBB71F6">
      <w:pPr>
        <w:spacing w:line="20" w:lineRule="exact"/>
        <w:jc w:val="center"/>
        <w:rPr>
          <w:rFonts w:hint="eastAsia" w:ascii="黑体" w:hAnsi="黑体" w:eastAsia="黑体"/>
          <w:sz w:val="32"/>
          <w:szCs w:val="32"/>
        </w:rPr>
      </w:pPr>
      <w:bookmarkStart w:id="32" w:name="BookMark4"/>
    </w:p>
    <w:p w14:paraId="4E0FCBA0">
      <w:pPr>
        <w:spacing w:line="20" w:lineRule="exact"/>
        <w:jc w:val="center"/>
        <w:rPr>
          <w:rFonts w:hint="eastAsia" w:ascii="黑体" w:hAnsi="黑体" w:eastAsia="黑体"/>
          <w:sz w:val="32"/>
          <w:szCs w:val="32"/>
        </w:rPr>
      </w:pPr>
    </w:p>
    <w:sdt>
      <w:sdtPr>
        <w:tag w:val="NEW_STAND_NAME"/>
        <w:id w:val="595910757"/>
        <w:lock w:val="sdtLocked"/>
        <w:placeholder>
          <w:docPart w:val="111CE7D3F9BA4E728362237CDF869B54"/>
        </w:placeholder>
      </w:sdtPr>
      <w:sdtContent>
        <w:p w14:paraId="4F038A1F">
          <w:pPr>
            <w:pStyle w:val="180"/>
            <w:spacing w:before="2" w:beforeLines="1" w:after="528" w:afterLines="220"/>
            <w:rPr>
              <w:rFonts w:hint="eastAsia"/>
            </w:rPr>
          </w:pPr>
          <w:bookmarkStart w:id="33" w:name="NEW_STAND_NAME"/>
          <w:r>
            <w:rPr>
              <w:rFonts w:hint="eastAsia"/>
            </w:rPr>
            <w:t>电动汽车停放充电场所消防技术导则</w:t>
          </w:r>
        </w:p>
      </w:sdtContent>
    </w:sdt>
    <w:bookmarkEnd w:id="33"/>
    <w:p w14:paraId="55D6AEA9">
      <w:pPr>
        <w:pStyle w:val="107"/>
        <w:spacing w:before="240" w:after="240"/>
      </w:pPr>
      <w:bookmarkStart w:id="34" w:name="_Toc17233325"/>
      <w:bookmarkStart w:id="35" w:name="_Toc17233333"/>
      <w:bookmarkStart w:id="36" w:name="_Toc26648465"/>
      <w:bookmarkStart w:id="37" w:name="_Toc24884211"/>
      <w:bookmarkStart w:id="38" w:name="_Toc24884218"/>
      <w:bookmarkStart w:id="39" w:name="_Toc26718930"/>
      <w:bookmarkStart w:id="40" w:name="_Toc26986530"/>
      <w:bookmarkStart w:id="41" w:name="_Toc26986771"/>
      <w:bookmarkStart w:id="42" w:name="_Toc97192964"/>
      <w:bookmarkStart w:id="43" w:name="_Toc207793335"/>
      <w:bookmarkStart w:id="44" w:name="_Toc211845639"/>
      <w:bookmarkStart w:id="45" w:name="_Toc226453379"/>
      <w:bookmarkStart w:id="46" w:name="_Toc229401475"/>
      <w:bookmarkStart w:id="47" w:name="_Toc219378813"/>
      <w:bookmarkStart w:id="48" w:name="_Toc226444316"/>
      <w:bookmarkStart w:id="49" w:name="_Toc219363905"/>
      <w:r>
        <w:rPr>
          <w:rFonts w:hint="eastAsia"/>
        </w:rPr>
        <w:t>范围</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481685C5">
      <w:pPr>
        <w:pStyle w:val="59"/>
        <w:ind w:firstLine="420"/>
      </w:pPr>
      <w:bookmarkStart w:id="50" w:name="_Toc17233334"/>
      <w:bookmarkStart w:id="51" w:name="_Toc24884219"/>
      <w:bookmarkStart w:id="52" w:name="_Toc17233326"/>
      <w:bookmarkStart w:id="53" w:name="_Toc26648466"/>
      <w:bookmarkStart w:id="54" w:name="_Toc24884212"/>
      <w:r>
        <w:rPr>
          <w:rFonts w:hint="eastAsia"/>
        </w:rPr>
        <w:t>本文件规定了电动汽车停放场所消防安全的基本要求、区域布置、监测预警、灭火设施、隔离处置、应急疏散、运维管理等内容。</w:t>
      </w:r>
      <w:r>
        <w:rPr>
          <w:rFonts w:ascii="Times New Roman"/>
        </w:rPr>
        <w:t>​</w:t>
      </w:r>
    </w:p>
    <w:p w14:paraId="12855720">
      <w:pPr>
        <w:pStyle w:val="59"/>
        <w:ind w:firstLine="420"/>
      </w:pPr>
      <w:r>
        <w:t>本文件适用于各类电动汽车专用停车场、综合停车场配建充电区域、汽车库内充电设施区域及露天充电场站的消防</w:t>
      </w:r>
      <w:r>
        <w:rPr>
          <w:rFonts w:hint="eastAsia"/>
        </w:rPr>
        <w:t>设施配套</w:t>
      </w:r>
      <w:r>
        <w:t>、</w:t>
      </w:r>
      <w:r>
        <w:rPr>
          <w:rFonts w:hint="eastAsia"/>
        </w:rPr>
        <w:t>设备系统运维</w:t>
      </w:r>
      <w:r>
        <w:t>及</w:t>
      </w:r>
      <w:r>
        <w:rPr>
          <w:rFonts w:hint="eastAsia"/>
        </w:rPr>
        <w:t>日常防火</w:t>
      </w:r>
      <w:r>
        <w:t>管理。</w:t>
      </w:r>
    </w:p>
    <w:p w14:paraId="5F0BB785">
      <w:pPr>
        <w:pStyle w:val="59"/>
        <w:ind w:firstLine="420"/>
      </w:pPr>
      <w:r>
        <w:t>本文件不适用于电动汽车电池更换站、动力电池生产及维修场所、由独立储能设施直接供能的充电场所。</w:t>
      </w:r>
    </w:p>
    <w:p w14:paraId="5C781A7F">
      <w:pPr>
        <w:pStyle w:val="107"/>
        <w:spacing w:before="240" w:after="240"/>
      </w:pPr>
      <w:bookmarkStart w:id="55" w:name="_Toc26718931"/>
      <w:bookmarkStart w:id="56" w:name="_Toc26986531"/>
      <w:bookmarkStart w:id="57" w:name="_Toc26986772"/>
      <w:bookmarkStart w:id="58" w:name="_Toc211845640"/>
      <w:bookmarkStart w:id="59" w:name="_Toc207793336"/>
      <w:bookmarkStart w:id="60" w:name="_Toc97192965"/>
      <w:bookmarkStart w:id="61" w:name="_Toc219378814"/>
      <w:bookmarkStart w:id="62" w:name="_Toc219363906"/>
      <w:bookmarkStart w:id="63" w:name="_Toc226453380"/>
      <w:bookmarkStart w:id="64" w:name="_Toc229401476"/>
      <w:bookmarkStart w:id="65" w:name="_Toc226444317"/>
      <w:r>
        <w:rPr>
          <w:rFonts w:hint="eastAsia"/>
        </w:rPr>
        <w:t>规范性引用文件</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sdt>
      <w:sdtPr>
        <w:rPr>
          <w:rFonts w:hint="eastAsia"/>
        </w:rPr>
        <w:id w:val="715848253"/>
        <w:placeholder>
          <w:docPart w:val="32054C77D1854280AE9EE99BC6E42125"/>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069D65D0">
          <w:pPr>
            <w:pStyle w:val="59"/>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513EF7CD">
      <w:pPr>
        <w:pStyle w:val="59"/>
        <w:ind w:firstLine="420"/>
      </w:pPr>
      <w:r>
        <w:rPr>
          <w:rFonts w:hint="eastAsia"/>
        </w:rPr>
        <w:t>GB 18384 电动汽车安全要求</w:t>
      </w:r>
    </w:p>
    <w:p w14:paraId="3450BCEF">
      <w:pPr>
        <w:pStyle w:val="59"/>
        <w:ind w:firstLine="420"/>
      </w:pPr>
      <w:r>
        <w:rPr>
          <w:rFonts w:hint="eastAsia"/>
        </w:rPr>
        <w:t>GB 50016 建筑设计防火规范</w:t>
      </w:r>
    </w:p>
    <w:p w14:paraId="25683EA4">
      <w:pPr>
        <w:pStyle w:val="59"/>
        <w:ind w:firstLine="420"/>
      </w:pPr>
      <w:r>
        <w:rPr>
          <w:rFonts w:hint="eastAsia"/>
        </w:rPr>
        <w:t>GB 50067 汽车库、修车库、停车场设计防火规范</w:t>
      </w:r>
    </w:p>
    <w:p w14:paraId="1A3D7BAB">
      <w:pPr>
        <w:pStyle w:val="59"/>
        <w:ind w:firstLine="420"/>
      </w:pPr>
      <w:r>
        <w:rPr>
          <w:rFonts w:hint="eastAsia"/>
        </w:rPr>
        <w:t>GB 50084 自动喷水灭火系统设计规范</w:t>
      </w:r>
    </w:p>
    <w:p w14:paraId="6F6A4BBB">
      <w:pPr>
        <w:pStyle w:val="59"/>
        <w:ind w:firstLine="420"/>
      </w:pPr>
      <w:r>
        <w:rPr>
          <w:rFonts w:hint="eastAsia"/>
        </w:rPr>
        <w:t>GB 50140 建筑灭火器配置设计规范</w:t>
      </w:r>
    </w:p>
    <w:p w14:paraId="360D219C">
      <w:pPr>
        <w:pStyle w:val="59"/>
        <w:ind w:firstLine="420"/>
      </w:pPr>
      <w:r>
        <w:rPr>
          <w:rFonts w:hint="eastAsia"/>
        </w:rPr>
        <w:t>GB 50966 电动汽车充电站设计规范</w:t>
      </w:r>
    </w:p>
    <w:p w14:paraId="645F9B9E">
      <w:pPr>
        <w:pStyle w:val="59"/>
        <w:ind w:firstLine="420"/>
      </w:pPr>
      <w:r>
        <w:rPr>
          <w:rFonts w:hint="eastAsia"/>
        </w:rPr>
        <w:t>GB/T 51313 电动汽车分散充电设施工程技术标准</w:t>
      </w:r>
    </w:p>
    <w:p w14:paraId="715D3023">
      <w:pPr>
        <w:pStyle w:val="59"/>
        <w:ind w:firstLine="420"/>
      </w:pPr>
      <w:r>
        <w:rPr>
          <w:rFonts w:hint="eastAsia"/>
        </w:rPr>
        <w:t>DB11/T 2103.1 社会单位和重点场所消防安全管理规范 第1部分：通则</w:t>
      </w:r>
    </w:p>
    <w:p w14:paraId="5F5790B6">
      <w:pPr>
        <w:pStyle w:val="59"/>
        <w:ind w:firstLine="420"/>
      </w:pPr>
      <w:r>
        <w:rPr>
          <w:rFonts w:hint="eastAsia"/>
        </w:rPr>
        <w:t>DB11/T 2315 消防安全标识设置规范</w:t>
      </w:r>
    </w:p>
    <w:p w14:paraId="3D578024">
      <w:pPr>
        <w:pStyle w:val="107"/>
        <w:spacing w:before="240" w:after="240"/>
      </w:pPr>
      <w:bookmarkStart w:id="66" w:name="_Toc97192966"/>
      <w:bookmarkStart w:id="67" w:name="_Toc219378815"/>
      <w:bookmarkStart w:id="68" w:name="_Toc211845641"/>
      <w:bookmarkStart w:id="69" w:name="_Toc219363907"/>
      <w:bookmarkStart w:id="70" w:name="_Toc226444318"/>
      <w:bookmarkStart w:id="71" w:name="_Toc207793337"/>
      <w:bookmarkStart w:id="72" w:name="_Toc226453381"/>
      <w:bookmarkStart w:id="73" w:name="_Toc229401477"/>
      <w:r>
        <w:rPr>
          <w:rFonts w:hint="eastAsia"/>
          <w:szCs w:val="21"/>
        </w:rPr>
        <w:t>术语和定义</w:t>
      </w:r>
      <w:bookmarkEnd w:id="66"/>
      <w:bookmarkEnd w:id="67"/>
      <w:bookmarkEnd w:id="68"/>
      <w:bookmarkEnd w:id="69"/>
      <w:bookmarkEnd w:id="70"/>
      <w:bookmarkEnd w:id="71"/>
      <w:bookmarkEnd w:id="72"/>
      <w:bookmarkEnd w:id="73"/>
    </w:p>
    <w:sdt>
      <w:sdtPr>
        <w:id w:val="-1909835108"/>
        <w:placeholder>
          <w:docPart w:val="059CBDABBE7E47ACA1CDC7C0589E0402"/>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60DBBFBD">
          <w:pPr>
            <w:pStyle w:val="59"/>
            <w:ind w:firstLine="420"/>
          </w:pPr>
          <w:bookmarkStart w:id="74" w:name="_Toc26986532"/>
          <w:bookmarkEnd w:id="74"/>
          <w:r>
            <w:t>下列术语和定义适用于本文件。</w:t>
          </w:r>
        </w:p>
      </w:sdtContent>
    </w:sdt>
    <w:p w14:paraId="1AFD65F9">
      <w:pPr>
        <w:pStyle w:val="226"/>
        <w:ind w:left="420" w:hanging="420" w:hangingChars="200"/>
        <w:rPr>
          <w:rFonts w:hint="eastAsia" w:ascii="黑体" w:hAnsi="黑体" w:eastAsia="黑体"/>
        </w:rPr>
      </w:pPr>
    </w:p>
    <w:p w14:paraId="0BBE9D93">
      <w:pPr>
        <w:pStyle w:val="226"/>
        <w:numPr>
          <w:ilvl w:val="0"/>
          <w:numId w:val="0"/>
        </w:numPr>
        <w:ind w:left="420"/>
        <w:rPr>
          <w:rFonts w:hint="eastAsia" w:ascii="黑体" w:hAnsi="黑体" w:eastAsia="黑体"/>
        </w:rPr>
      </w:pPr>
      <w:r>
        <w:rPr>
          <w:rFonts w:hint="eastAsia" w:ascii="黑体" w:hAnsi="黑体" w:eastAsia="黑体"/>
        </w:rPr>
        <w:t xml:space="preserve">电动汽车停放充电场所 </w:t>
      </w:r>
      <w:r>
        <w:rPr>
          <w:rFonts w:ascii="黑体" w:hAnsi="黑体" w:eastAsia="黑体"/>
        </w:rPr>
        <w:t>places for electric vehicle parking and charging</w:t>
      </w:r>
    </w:p>
    <w:p w14:paraId="3555595D">
      <w:pPr>
        <w:pStyle w:val="59"/>
        <w:ind w:firstLine="420"/>
      </w:pPr>
      <w:r>
        <w:rPr>
          <w:rFonts w:hint="eastAsia"/>
        </w:rPr>
        <w:t>具备电动汽车停放功能且配建充电设施，为电动汽车提供停放及电能补给服务的专用区域或场所，包括室内（汽车库内）、半敞开及露天场所。</w:t>
      </w:r>
    </w:p>
    <w:p w14:paraId="63AC7F2E">
      <w:pPr>
        <w:pStyle w:val="226"/>
        <w:ind w:left="420" w:hanging="420" w:hangingChars="200"/>
      </w:pPr>
    </w:p>
    <w:p w14:paraId="6B98006B">
      <w:pPr>
        <w:pStyle w:val="59"/>
        <w:ind w:firstLine="420"/>
        <w:rPr>
          <w:rFonts w:hint="eastAsia" w:ascii="黑体" w:hAnsi="黑体" w:eastAsia="黑体"/>
        </w:rPr>
      </w:pPr>
      <w:r>
        <w:rPr>
          <w:rFonts w:hint="eastAsia" w:ascii="黑体" w:hAnsi="黑体" w:eastAsia="黑体"/>
        </w:rPr>
        <w:t xml:space="preserve">智能消防监控系统 </w:t>
      </w:r>
      <w:r>
        <w:rPr>
          <w:rFonts w:ascii="黑体" w:hAnsi="黑体" w:eastAsia="黑体"/>
        </w:rPr>
        <w:t>intelligent fire monitoring system</w:t>
      </w:r>
    </w:p>
    <w:p w14:paraId="44EE6AD4">
      <w:pPr>
        <w:pStyle w:val="59"/>
        <w:ind w:firstLine="420"/>
      </w:pPr>
      <w:r>
        <w:rPr>
          <w:rFonts w:hint="eastAsia"/>
        </w:rPr>
        <w:t>集成火灾探测、电气参数监测、视频监控、应急报警、设备 联动控制等功能，通过物联网、大数据技术实现实时监测、智能预警及远程管控的消防监控系统。</w:t>
      </w:r>
    </w:p>
    <w:p w14:paraId="5718AAAD">
      <w:pPr>
        <w:pStyle w:val="226"/>
        <w:ind w:left="0"/>
        <w:rPr>
          <w:rFonts w:hint="eastAsia" w:ascii="黑体" w:hAnsi="黑体" w:eastAsia="黑体"/>
        </w:rPr>
      </w:pPr>
    </w:p>
    <w:p w14:paraId="1F32E8DB">
      <w:pPr>
        <w:pStyle w:val="226"/>
        <w:numPr>
          <w:ilvl w:val="0"/>
          <w:numId w:val="0"/>
        </w:numPr>
        <w:ind w:firstLine="420" w:firstLineChars="200"/>
        <w:rPr>
          <w:rFonts w:hint="eastAsia" w:ascii="黑体" w:hAnsi="黑体" w:eastAsia="黑体"/>
        </w:rPr>
      </w:pPr>
      <w:r>
        <w:rPr>
          <w:rFonts w:hint="eastAsia" w:ascii="黑体" w:hAnsi="黑体" w:eastAsia="黑体"/>
        </w:rPr>
        <w:t xml:space="preserve">隔离处置单元 </w:t>
      </w:r>
      <w:r>
        <w:rPr>
          <w:rFonts w:ascii="黑体" w:hAnsi="黑体" w:eastAsia="黑体"/>
        </w:rPr>
        <w:t>Electric Vehicle Fire Isolation and Disposal Unit</w:t>
      </w:r>
    </w:p>
    <w:p w14:paraId="7BED4CE6">
      <w:pPr>
        <w:pStyle w:val="59"/>
        <w:ind w:firstLine="420"/>
      </w:pPr>
      <w:r>
        <w:rPr>
          <w:rFonts w:hint="eastAsia"/>
        </w:rPr>
        <w:t>在电动汽车停放场所内，采用防火分隔、防爆、排烟降温、应急处置等措施构成的独立空间，用于快速隔离热失控车辆、遏制火灾蔓延、便于现场处置的专用功能单元。</w:t>
      </w:r>
    </w:p>
    <w:p w14:paraId="4DC031EB">
      <w:pPr>
        <w:pStyle w:val="107"/>
        <w:spacing w:before="240" w:after="240"/>
      </w:pPr>
      <w:bookmarkStart w:id="75" w:name="_Toc219363908"/>
      <w:bookmarkStart w:id="76" w:name="_Toc219378816"/>
      <w:bookmarkStart w:id="77" w:name="_Toc226453382"/>
      <w:bookmarkStart w:id="78" w:name="_Toc229401478"/>
      <w:bookmarkStart w:id="79" w:name="_Toc226444319"/>
      <w:r>
        <w:rPr>
          <w:rFonts w:hint="eastAsia"/>
        </w:rPr>
        <w:t>基本要求</w:t>
      </w:r>
      <w:bookmarkEnd w:id="75"/>
      <w:bookmarkEnd w:id="76"/>
      <w:bookmarkEnd w:id="77"/>
      <w:bookmarkEnd w:id="78"/>
      <w:bookmarkEnd w:id="79"/>
    </w:p>
    <w:p w14:paraId="7A2AA647">
      <w:pPr>
        <w:pStyle w:val="165"/>
        <w:ind w:left="0"/>
      </w:pPr>
      <w:r>
        <w:rPr>
          <w:rFonts w:hint="eastAsia"/>
        </w:rPr>
        <w:t>新建、改建、扩建电动汽车停放充电场所应进行消防安全专项设计，并依法通过消防设计审查、验收或备案抽查；既有场所增设充电设施前，应进行消防安全评估。</w:t>
      </w:r>
      <w:r>
        <w:rPr>
          <w:rFonts w:ascii="Times New Roman"/>
        </w:rPr>
        <w:t>​</w:t>
      </w:r>
    </w:p>
    <w:p w14:paraId="2EDC236F">
      <w:pPr>
        <w:pStyle w:val="165"/>
        <w:ind w:left="0"/>
      </w:pPr>
      <w:r>
        <w:rPr>
          <w:rFonts w:hint="eastAsia"/>
        </w:rPr>
        <w:t>防火分区划分及消防设施配套应符合GB 50067规定要求。</w:t>
      </w:r>
    </w:p>
    <w:p w14:paraId="1B124C57">
      <w:pPr>
        <w:pStyle w:val="165"/>
        <w:ind w:left="0"/>
      </w:pPr>
      <w:r>
        <w:rPr>
          <w:rFonts w:hint="eastAsia"/>
        </w:rPr>
        <w:t>隔离处置单元设置宜按隔离处置单元应遵循集中布置、独立分隔、规模可控、便于处置的原则进行划分。</w:t>
      </w:r>
    </w:p>
    <w:p w14:paraId="0B1226CB">
      <w:pPr>
        <w:pStyle w:val="165"/>
        <w:ind w:left="0"/>
      </w:pPr>
      <w:r>
        <w:rPr>
          <w:rFonts w:hint="eastAsia"/>
        </w:rPr>
        <w:t>电动汽车集中停放充电场所主管或使用单位应将电动汽车各车位集中到统一单元区域管理，应制定《停车与充电行为规范》，规范停车要求并落实执行。</w:t>
      </w:r>
    </w:p>
    <w:p w14:paraId="4AF5BEB3">
      <w:pPr>
        <w:pStyle w:val="165"/>
        <w:ind w:left="0"/>
      </w:pPr>
      <w:r>
        <w:rPr>
          <w:rFonts w:hint="eastAsia"/>
        </w:rPr>
        <w:t>充电设施及配套电气设备应符合GB/T 18487.1、GB 50966等标准要求，经检验检测合格后方可投入使用，严禁使用不合格产品及淘汰设备。</w:t>
      </w:r>
    </w:p>
    <w:p w14:paraId="6600AF8D">
      <w:pPr>
        <w:pStyle w:val="165"/>
        <w:ind w:left="0"/>
      </w:pPr>
      <w:r>
        <w:rPr>
          <w:rFonts w:hint="eastAsia"/>
        </w:rPr>
        <w:t>电气火灾监控系统应独立设置并作为火灾自动报警系统子系统，在充电设备配电干线/分支干线总开关及末端配电箱接线端子处分别装设剩余电流式与测温式电气火灾监控探测器。</w:t>
      </w:r>
    </w:p>
    <w:p w14:paraId="6EDD14CC">
      <w:pPr>
        <w:pStyle w:val="165"/>
        <w:ind w:left="0"/>
      </w:pPr>
      <w:r>
        <w:rPr>
          <w:rFonts w:hint="eastAsia"/>
        </w:rPr>
        <w:t>防火巡查、检查宜采用物联感知、智能巡检等技术手段。</w:t>
      </w:r>
    </w:p>
    <w:p w14:paraId="51BB8F1D">
      <w:pPr>
        <w:pStyle w:val="107"/>
        <w:spacing w:before="240" w:after="240"/>
      </w:pPr>
      <w:bookmarkStart w:id="80" w:name="_Toc226444324"/>
      <w:bookmarkEnd w:id="80"/>
      <w:bookmarkStart w:id="81" w:name="_Toc226444323"/>
      <w:bookmarkEnd w:id="81"/>
      <w:bookmarkStart w:id="82" w:name="_Toc226444326"/>
      <w:bookmarkEnd w:id="82"/>
      <w:bookmarkStart w:id="83" w:name="_Toc226444322"/>
      <w:bookmarkEnd w:id="83"/>
      <w:bookmarkStart w:id="84" w:name="_Toc226444320"/>
      <w:bookmarkEnd w:id="84"/>
      <w:bookmarkStart w:id="85" w:name="_Toc226444328"/>
      <w:bookmarkEnd w:id="85"/>
      <w:bookmarkStart w:id="86" w:name="_Toc226444325"/>
      <w:bookmarkEnd w:id="86"/>
      <w:bookmarkStart w:id="87" w:name="_Toc226444327"/>
      <w:bookmarkEnd w:id="87"/>
      <w:bookmarkStart w:id="88" w:name="_Toc226444321"/>
      <w:bookmarkEnd w:id="88"/>
      <w:bookmarkStart w:id="89" w:name="_Toc226444329"/>
      <w:bookmarkEnd w:id="89"/>
      <w:bookmarkStart w:id="90" w:name="_Toc226444330"/>
      <w:bookmarkEnd w:id="90"/>
      <w:bookmarkStart w:id="91" w:name="_Toc226453383"/>
      <w:bookmarkStart w:id="92" w:name="_Toc229401479"/>
      <w:bookmarkStart w:id="93" w:name="_Toc226444347"/>
      <w:r>
        <w:rPr>
          <w:rFonts w:hint="eastAsia"/>
        </w:rPr>
        <w:t>区域布置</w:t>
      </w:r>
      <w:bookmarkEnd w:id="91"/>
      <w:bookmarkEnd w:id="92"/>
      <w:bookmarkEnd w:id="93"/>
    </w:p>
    <w:p w14:paraId="1F3098E8">
      <w:pPr>
        <w:pStyle w:val="165"/>
        <w:ind w:left="0"/>
      </w:pPr>
      <w:r>
        <w:rPr>
          <w:rFonts w:hint="eastAsia"/>
        </w:rPr>
        <w:t>充电车位与相邻车位的净距不应小于0.5 m，充电设备与建筑物外墙、疏散通道的距离不应小于1.5 m，严禁在疏散通道门口、窗户下方布置充电设备。</w:t>
      </w:r>
    </w:p>
    <w:p w14:paraId="2666AD23">
      <w:pPr>
        <w:pStyle w:val="165"/>
        <w:ind w:left="0"/>
      </w:pPr>
      <w:r>
        <w:rPr>
          <w:rFonts w:hint="eastAsia"/>
        </w:rPr>
        <w:t>室内集中充电区域应设置独立的通风系统，排风量应满足每小时不少于6次的换气要求，排风管道应直通室外，不得接入空调系统或其他通风管道。</w:t>
      </w:r>
    </w:p>
    <w:p w14:paraId="537399AA">
      <w:pPr>
        <w:pStyle w:val="165"/>
        <w:ind w:left="0"/>
      </w:pPr>
      <w:r>
        <w:rPr>
          <w:rFonts w:hint="eastAsia"/>
        </w:rPr>
        <w:t>露天充电区域应设置防雨、防晒、防雷设施，充电设备采取防积水措施，场地地面坡度≥3 ‰。</w:t>
      </w:r>
    </w:p>
    <w:p w14:paraId="593659E7">
      <w:pPr>
        <w:pStyle w:val="165"/>
        <w:ind w:left="0"/>
      </w:pPr>
      <w:r>
        <w:rPr>
          <w:rFonts w:hint="eastAsia"/>
        </w:rPr>
        <w:t>集中充电区域内每个防火单元的充电车位数量应结合防火单元最大允许建筑面积合理设置，小型乘用电动汽车充电车位单防火单元不应超过12个；充电车位分组设置时，每组不宜</w:t>
      </w:r>
      <w:r>
        <w:rPr>
          <w:rFonts w:hint="eastAsia"/>
          <w:lang w:eastAsia="zh-CN"/>
        </w:rPr>
        <w:t>超过</w:t>
      </w:r>
      <w:r>
        <w:rPr>
          <w:rFonts w:hint="eastAsia"/>
        </w:rPr>
        <w:t>3个，组间应设置耐火极限不低于2.0</w:t>
      </w:r>
      <w:r>
        <w:t xml:space="preserve"> </w:t>
      </w:r>
      <w:r>
        <w:rPr>
          <w:rFonts w:hint="eastAsia"/>
        </w:rPr>
        <w:t>h的防火隔墙，或保持不小于1.5</w:t>
      </w:r>
      <w:r>
        <w:t xml:space="preserve"> </w:t>
      </w:r>
      <w:r>
        <w:rPr>
          <w:rFonts w:hint="eastAsia"/>
        </w:rPr>
        <w:t>m的防火间距。</w:t>
      </w:r>
    </w:p>
    <w:p w14:paraId="5A58B65B">
      <w:pPr>
        <w:pStyle w:val="107"/>
        <w:spacing w:before="240" w:after="240"/>
      </w:pPr>
      <w:bookmarkStart w:id="94" w:name="_Toc226453384"/>
      <w:bookmarkStart w:id="95" w:name="_Toc226444348"/>
      <w:bookmarkStart w:id="96" w:name="_Toc229401480"/>
      <w:r>
        <w:rPr>
          <w:rFonts w:hint="eastAsia"/>
        </w:rPr>
        <w:t>监测预警</w:t>
      </w:r>
      <w:bookmarkEnd w:id="94"/>
      <w:bookmarkEnd w:id="95"/>
      <w:bookmarkEnd w:id="96"/>
    </w:p>
    <w:p w14:paraId="40958007">
      <w:pPr>
        <w:pStyle w:val="108"/>
        <w:spacing w:before="120" w:after="120"/>
        <w:ind w:left="0"/>
      </w:pPr>
      <w:r>
        <w:rPr>
          <w:rFonts w:hint="eastAsia"/>
        </w:rPr>
        <w:t>监测预警系统</w:t>
      </w:r>
    </w:p>
    <w:p w14:paraId="425D6D93">
      <w:pPr>
        <w:pStyle w:val="59"/>
        <w:ind w:firstLine="420"/>
      </w:pPr>
      <w:r>
        <w:rPr>
          <w:rFonts w:hint="eastAsia"/>
        </w:rPr>
        <w:t>监测预警系统应包含监测电池状态信号、电气参数、环境参数、火点探测的监测模块，监测模块功能、性能要求见表2。</w:t>
      </w:r>
    </w:p>
    <w:p w14:paraId="154182DC">
      <w:pPr>
        <w:pStyle w:val="115"/>
        <w:spacing w:before="120" w:after="120"/>
      </w:pPr>
      <w:r>
        <w:rPr>
          <w:rFonts w:hint="eastAsia"/>
        </w:rPr>
        <w:t>监测模块功能、性能及联动要求</w:t>
      </w:r>
    </w:p>
    <w:tbl>
      <w:tblPr>
        <w:tblStyle w:val="2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334"/>
        <w:gridCol w:w="2333"/>
        <w:gridCol w:w="2334"/>
        <w:gridCol w:w="2333"/>
      </w:tblGrid>
      <w:tr w14:paraId="7AD3B6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2334" w:type="dxa"/>
            <w:tcBorders>
              <w:top w:val="single" w:color="auto" w:sz="8" w:space="0"/>
              <w:bottom w:val="single" w:color="auto" w:sz="8" w:space="0"/>
            </w:tcBorders>
            <w:vAlign w:val="center"/>
          </w:tcPr>
          <w:p w14:paraId="0D45FF54">
            <w:pPr>
              <w:pStyle w:val="181"/>
            </w:pPr>
            <w:r>
              <w:rPr>
                <w:rFonts w:hint="eastAsia"/>
              </w:rPr>
              <w:t>监测模块</w:t>
            </w:r>
          </w:p>
        </w:tc>
        <w:tc>
          <w:tcPr>
            <w:tcW w:w="2333" w:type="dxa"/>
            <w:tcBorders>
              <w:top w:val="single" w:color="auto" w:sz="8" w:space="0"/>
              <w:bottom w:val="single" w:color="auto" w:sz="8" w:space="0"/>
            </w:tcBorders>
            <w:vAlign w:val="center"/>
          </w:tcPr>
          <w:p w14:paraId="5160DEFB">
            <w:pPr>
              <w:pStyle w:val="181"/>
            </w:pPr>
            <w:r>
              <w:rPr>
                <w:rFonts w:hint="eastAsia"/>
              </w:rPr>
              <w:t>功能要求</w:t>
            </w:r>
          </w:p>
        </w:tc>
        <w:tc>
          <w:tcPr>
            <w:tcW w:w="2334" w:type="dxa"/>
            <w:tcBorders>
              <w:top w:val="single" w:color="auto" w:sz="8" w:space="0"/>
              <w:bottom w:val="single" w:color="auto" w:sz="8" w:space="0"/>
            </w:tcBorders>
            <w:vAlign w:val="center"/>
          </w:tcPr>
          <w:p w14:paraId="0C571622">
            <w:pPr>
              <w:pStyle w:val="181"/>
            </w:pPr>
            <w:r>
              <w:rPr>
                <w:rFonts w:hint="eastAsia"/>
              </w:rPr>
              <w:t>性能要求</w:t>
            </w:r>
          </w:p>
        </w:tc>
        <w:tc>
          <w:tcPr>
            <w:tcW w:w="2333" w:type="dxa"/>
            <w:tcBorders>
              <w:top w:val="single" w:color="auto" w:sz="8" w:space="0"/>
              <w:bottom w:val="single" w:color="auto" w:sz="8" w:space="0"/>
            </w:tcBorders>
            <w:vAlign w:val="center"/>
          </w:tcPr>
          <w:p w14:paraId="03F8CCC1">
            <w:pPr>
              <w:pStyle w:val="181"/>
            </w:pPr>
            <w:r>
              <w:rPr>
                <w:rFonts w:hint="eastAsia"/>
              </w:rPr>
              <w:t>联动动作</w:t>
            </w:r>
          </w:p>
        </w:tc>
      </w:tr>
      <w:tr w14:paraId="52EDFE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4" w:type="dxa"/>
            <w:tcBorders>
              <w:top w:val="single" w:color="auto" w:sz="8" w:space="0"/>
            </w:tcBorders>
            <w:vAlign w:val="center"/>
          </w:tcPr>
          <w:p w14:paraId="2712AA11">
            <w:pPr>
              <w:pStyle w:val="181"/>
            </w:pPr>
            <w:r>
              <w:t>电池状态监测</w:t>
            </w:r>
          </w:p>
        </w:tc>
        <w:tc>
          <w:tcPr>
            <w:tcW w:w="2333" w:type="dxa"/>
            <w:tcBorders>
              <w:top w:val="single" w:color="auto" w:sz="8" w:space="0"/>
            </w:tcBorders>
            <w:vAlign w:val="center"/>
          </w:tcPr>
          <w:p w14:paraId="121304A7">
            <w:pPr>
              <w:pStyle w:val="181"/>
              <w:jc w:val="both"/>
            </w:pPr>
            <w:r>
              <w:rPr>
                <w:rFonts w:hint="eastAsia"/>
              </w:rPr>
              <w:t>实时采集电池参数，识别热失控前兆及异常状态，实现分级预警。</w:t>
            </w:r>
          </w:p>
        </w:tc>
        <w:tc>
          <w:tcPr>
            <w:tcW w:w="2334" w:type="dxa"/>
            <w:tcBorders>
              <w:top w:val="single" w:color="auto" w:sz="8" w:space="0"/>
            </w:tcBorders>
            <w:vAlign w:val="center"/>
          </w:tcPr>
          <w:p w14:paraId="7EA6302A">
            <w:pPr>
              <w:pStyle w:val="181"/>
              <w:jc w:val="both"/>
            </w:pPr>
            <w:r>
              <w:rPr>
                <w:rFonts w:hint="eastAsia"/>
                <w:lang w:eastAsia="zh-CN"/>
              </w:rPr>
              <w:t>1.</w:t>
            </w:r>
            <w:r>
              <w:rPr>
                <w:rFonts w:hint="eastAsia"/>
              </w:rPr>
              <w:t>监测参数：单体电池电压、温度、</w:t>
            </w:r>
            <w:r>
              <w:t>SOC</w:t>
            </w:r>
            <w:r>
              <w:rPr>
                <w:rFonts w:hint="eastAsia"/>
              </w:rPr>
              <w:t>、绝缘电阻；</w:t>
            </w:r>
          </w:p>
          <w:p w14:paraId="4892AF9F">
            <w:pPr>
              <w:pStyle w:val="181"/>
              <w:jc w:val="both"/>
            </w:pPr>
            <w:r>
              <w:rPr>
                <w:rFonts w:hint="eastAsia"/>
                <w:lang w:eastAsia="zh-CN"/>
              </w:rPr>
              <w:t>2.</w:t>
            </w:r>
            <w:r>
              <w:rPr>
                <w:rFonts w:hint="eastAsia"/>
              </w:rPr>
              <w:t>预警阈值：温度骤升≥</w:t>
            </w:r>
            <w:r>
              <w:t>8</w:t>
            </w:r>
            <w:r>
              <w:rPr>
                <w:rFonts w:hint="eastAsia"/>
              </w:rPr>
              <w:t>℃</w:t>
            </w:r>
            <w:r>
              <w:t>/min</w:t>
            </w:r>
            <w:r>
              <w:rPr>
                <w:rFonts w:hint="eastAsia"/>
              </w:rPr>
              <w:t>、绝缘电阻＜</w:t>
            </w:r>
            <w:r>
              <w:t>500Ω/V</w:t>
            </w:r>
            <w:r>
              <w:rPr>
                <w:rFonts w:hint="eastAsia"/>
              </w:rPr>
              <w:t>、</w:t>
            </w:r>
            <w:r>
              <w:t>CO</w:t>
            </w:r>
            <w:r>
              <w:rPr>
                <w:rFonts w:hint="eastAsia"/>
              </w:rPr>
              <w:t>≥</w:t>
            </w:r>
            <w:r>
              <w:t>100ppm</w:t>
            </w:r>
            <w:r>
              <w:rPr>
                <w:rFonts w:hint="eastAsia"/>
              </w:rPr>
              <w:t>或</w:t>
            </w:r>
            <w:r>
              <w:t>H₂</w:t>
            </w:r>
            <w:r>
              <w:rPr>
                <w:rFonts w:hint="eastAsia"/>
              </w:rPr>
              <w:t>≥</w:t>
            </w:r>
            <w:r>
              <w:t>1000ppm</w:t>
            </w:r>
            <w:r>
              <w:rPr>
                <w:rFonts w:hint="eastAsia"/>
              </w:rPr>
              <w:t>；</w:t>
            </w:r>
          </w:p>
          <w:p w14:paraId="3E68440C">
            <w:pPr>
              <w:pStyle w:val="181"/>
              <w:jc w:val="both"/>
            </w:pPr>
            <w:r>
              <w:rPr>
                <w:rFonts w:hint="eastAsia"/>
                <w:lang w:eastAsia="zh-CN"/>
              </w:rPr>
              <w:t>3.</w:t>
            </w:r>
            <w:r>
              <w:rPr>
                <w:rFonts w:hint="eastAsia"/>
              </w:rPr>
              <w:t>热失控预警提前</w:t>
            </w:r>
            <w:r>
              <w:t>3</w:t>
            </w:r>
            <w:r>
              <w:rPr>
                <w:rFonts w:hint="eastAsia"/>
              </w:rPr>
              <w:t>-</w:t>
            </w:r>
            <w:r>
              <w:t>5</w:t>
            </w:r>
            <w:r>
              <w:rPr>
                <w:rFonts w:hint="eastAsia"/>
              </w:rPr>
              <w:t>分钟。</w:t>
            </w:r>
          </w:p>
        </w:tc>
        <w:tc>
          <w:tcPr>
            <w:tcW w:w="2333" w:type="dxa"/>
            <w:tcBorders>
              <w:top w:val="single" w:color="auto" w:sz="8" w:space="0"/>
            </w:tcBorders>
            <w:vAlign w:val="center"/>
          </w:tcPr>
          <w:p w14:paraId="41075FAB">
            <w:pPr>
              <w:pStyle w:val="181"/>
              <w:jc w:val="both"/>
            </w:pPr>
            <w:r>
              <w:rPr>
                <w:rFonts w:hint="eastAsia"/>
              </w:rPr>
              <w:t>一级预警：推送运维APP提示排查；二级预警：停止对应车辆充电，触发区域声光报警。</w:t>
            </w:r>
          </w:p>
        </w:tc>
      </w:tr>
      <w:tr w14:paraId="02FE0D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4" w:type="dxa"/>
            <w:vAlign w:val="center"/>
          </w:tcPr>
          <w:p w14:paraId="0F5337F0">
            <w:pPr>
              <w:pStyle w:val="181"/>
            </w:pPr>
            <w:r>
              <w:rPr>
                <w:rFonts w:hint="eastAsia"/>
              </w:rPr>
              <w:t>电气参数监测</w:t>
            </w:r>
          </w:p>
        </w:tc>
        <w:tc>
          <w:tcPr>
            <w:tcW w:w="2333" w:type="dxa"/>
            <w:vAlign w:val="center"/>
          </w:tcPr>
          <w:p w14:paraId="0695B567">
            <w:pPr>
              <w:pStyle w:val="181"/>
              <w:jc w:val="both"/>
            </w:pPr>
            <w:r>
              <w:rPr>
                <w:rFonts w:hint="eastAsia"/>
              </w:rPr>
              <w:t>检测线路故障电弧、过载、漏电、接触不良等隐患，区分正常充电电流与故障信号，避免误报警。</w:t>
            </w:r>
          </w:p>
        </w:tc>
        <w:tc>
          <w:tcPr>
            <w:tcW w:w="2334" w:type="dxa"/>
            <w:vAlign w:val="center"/>
          </w:tcPr>
          <w:p w14:paraId="385CE146">
            <w:pPr>
              <w:pStyle w:val="181"/>
              <w:jc w:val="both"/>
            </w:pPr>
            <w:r>
              <w:rPr>
                <w:rFonts w:hint="eastAsia"/>
                <w:lang w:eastAsia="zh-CN"/>
              </w:rPr>
              <w:t>1.</w:t>
            </w:r>
            <w:r>
              <w:rPr>
                <w:rFonts w:hint="eastAsia"/>
              </w:rPr>
              <w:t>保护线路长度≤100m；</w:t>
            </w:r>
          </w:p>
          <w:p w14:paraId="5E3AFE63">
            <w:pPr>
              <w:pStyle w:val="181"/>
              <w:jc w:val="both"/>
            </w:pPr>
            <w:r>
              <w:rPr>
                <w:rFonts w:hint="eastAsia"/>
                <w:lang w:eastAsia="zh-CN"/>
              </w:rPr>
              <w:t>2.</w:t>
            </w:r>
            <w:r>
              <w:rPr>
                <w:rFonts w:hint="eastAsia"/>
              </w:rPr>
              <w:t>传感器适配6mm²及以下线缆，闭口式设计；</w:t>
            </w:r>
          </w:p>
          <w:p w14:paraId="183E1281">
            <w:pPr>
              <w:pStyle w:val="181"/>
              <w:jc w:val="both"/>
            </w:pPr>
            <w:r>
              <w:rPr>
                <w:rFonts w:hint="eastAsia"/>
                <w:lang w:eastAsia="zh-CN"/>
              </w:rPr>
              <w:t>3.</w:t>
            </w:r>
            <w:r>
              <w:rPr>
                <w:rFonts w:hint="eastAsia"/>
              </w:rPr>
              <w:t>集中显示单元支持≥32路信号接入，具备无线通讯功能。</w:t>
            </w:r>
          </w:p>
        </w:tc>
        <w:tc>
          <w:tcPr>
            <w:tcW w:w="2333" w:type="dxa"/>
            <w:vAlign w:val="center"/>
          </w:tcPr>
          <w:p w14:paraId="20589FFA">
            <w:pPr>
              <w:pStyle w:val="181"/>
              <w:jc w:val="both"/>
            </w:pPr>
            <w:r>
              <w:rPr>
                <w:rFonts w:hint="eastAsia"/>
              </w:rPr>
              <w:t>一级预警：标注故障位置及类型并推送；二级预警：切断故障线路电源，联动平台报警。</w:t>
            </w:r>
          </w:p>
        </w:tc>
      </w:tr>
      <w:tr w14:paraId="428634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4" w:type="dxa"/>
            <w:tcBorders>
              <w:bottom w:val="single" w:color="auto" w:sz="4" w:space="0"/>
            </w:tcBorders>
            <w:vAlign w:val="center"/>
          </w:tcPr>
          <w:p w14:paraId="6761F648">
            <w:pPr>
              <w:pStyle w:val="181"/>
            </w:pPr>
            <w:r>
              <w:t>环境参数监测</w:t>
            </w:r>
          </w:p>
        </w:tc>
        <w:tc>
          <w:tcPr>
            <w:tcW w:w="2333" w:type="dxa"/>
            <w:tcBorders>
              <w:bottom w:val="single" w:color="auto" w:sz="4" w:space="0"/>
            </w:tcBorders>
            <w:vAlign w:val="center"/>
          </w:tcPr>
          <w:p w14:paraId="34321435">
            <w:pPr>
              <w:pStyle w:val="181"/>
              <w:jc w:val="both"/>
            </w:pPr>
            <w:r>
              <w:t>实时监测充电区域温湿度、可燃气体浓度、烟雾浓度，及时</w:t>
            </w:r>
            <w:r>
              <w:rPr>
                <w:rFonts w:hint="eastAsia"/>
              </w:rPr>
              <w:t>识别</w:t>
            </w:r>
            <w:r>
              <w:t>环境异常风险</w:t>
            </w:r>
            <w:r>
              <w:rPr>
                <w:rFonts w:hint="eastAsia"/>
              </w:rPr>
              <w:t>。</w:t>
            </w:r>
          </w:p>
        </w:tc>
        <w:tc>
          <w:tcPr>
            <w:tcW w:w="2334" w:type="dxa"/>
            <w:tcBorders>
              <w:bottom w:val="single" w:color="auto" w:sz="4" w:space="0"/>
            </w:tcBorders>
            <w:vAlign w:val="center"/>
          </w:tcPr>
          <w:p w14:paraId="003DFCE4">
            <w:pPr>
              <w:pStyle w:val="181"/>
              <w:jc w:val="both"/>
            </w:pPr>
            <w:r>
              <w:rPr>
                <w:rFonts w:hint="eastAsia"/>
                <w:lang w:eastAsia="zh-CN"/>
              </w:rPr>
              <w:t>1.</w:t>
            </w:r>
            <w:r>
              <w:rPr>
                <w:rFonts w:hint="eastAsia"/>
              </w:rPr>
              <w:t>高温预警阈值≥40℃；</w:t>
            </w:r>
          </w:p>
          <w:p w14:paraId="651B5CD1">
            <w:pPr>
              <w:pStyle w:val="181"/>
              <w:jc w:val="both"/>
            </w:pPr>
            <w:r>
              <w:rPr>
                <w:rFonts w:hint="eastAsia"/>
                <w:lang w:eastAsia="zh-CN"/>
              </w:rPr>
              <w:t>2.</w:t>
            </w:r>
            <w:r>
              <w:rPr>
                <w:rFonts w:hint="eastAsia"/>
              </w:rPr>
              <w:t>烟雾及可燃气体报警响应时间≤3s。</w:t>
            </w:r>
          </w:p>
        </w:tc>
        <w:tc>
          <w:tcPr>
            <w:tcW w:w="2333" w:type="dxa"/>
            <w:tcBorders>
              <w:bottom w:val="single" w:color="auto" w:sz="4" w:space="0"/>
            </w:tcBorders>
            <w:vAlign w:val="center"/>
          </w:tcPr>
          <w:p w14:paraId="65C49B49">
            <w:pPr>
              <w:pStyle w:val="181"/>
              <w:jc w:val="both"/>
            </w:pPr>
            <w:r>
              <w:rPr>
                <w:rFonts w:hint="eastAsia"/>
              </w:rPr>
              <w:t>浓度超标：启动通风系统，触发现场声光报警；高温预警：推送运维提示检查降温设施。</w:t>
            </w:r>
          </w:p>
        </w:tc>
      </w:tr>
      <w:tr w14:paraId="45B04F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4" w:type="dxa"/>
            <w:tcBorders>
              <w:top w:val="single" w:color="auto" w:sz="4" w:space="0"/>
              <w:bottom w:val="single" w:color="auto" w:sz="4" w:space="0"/>
            </w:tcBorders>
            <w:vAlign w:val="center"/>
          </w:tcPr>
          <w:p w14:paraId="318CC1CC">
            <w:pPr>
              <w:pStyle w:val="181"/>
            </w:pPr>
            <w:r>
              <w:rPr>
                <w:rFonts w:hint="eastAsia"/>
              </w:rPr>
              <w:t>火点探测</w:t>
            </w:r>
          </w:p>
        </w:tc>
        <w:tc>
          <w:tcPr>
            <w:tcW w:w="2333" w:type="dxa"/>
            <w:tcBorders>
              <w:top w:val="single" w:color="auto" w:sz="4" w:space="0"/>
              <w:bottom w:val="single" w:color="auto" w:sz="4" w:space="0"/>
            </w:tcBorders>
            <w:vAlign w:val="center"/>
          </w:tcPr>
          <w:p w14:paraId="7FF376F6">
            <w:pPr>
              <w:pStyle w:val="181"/>
              <w:jc w:val="both"/>
            </w:pPr>
            <w:r>
              <w:rPr>
                <w:rFonts w:hint="eastAsia"/>
              </w:rPr>
              <w:t>监测明火、静电火花、电弧等异常报警</w:t>
            </w:r>
          </w:p>
        </w:tc>
        <w:tc>
          <w:tcPr>
            <w:tcW w:w="2334" w:type="dxa"/>
            <w:tcBorders>
              <w:top w:val="single" w:color="auto" w:sz="4" w:space="0"/>
              <w:bottom w:val="single" w:color="auto" w:sz="4" w:space="0"/>
            </w:tcBorders>
            <w:vAlign w:val="center"/>
          </w:tcPr>
          <w:p w14:paraId="3A27C2FD">
            <w:pPr>
              <w:pStyle w:val="181"/>
              <w:jc w:val="both"/>
            </w:pPr>
            <w:r>
              <w:rPr>
                <w:rFonts w:hint="eastAsia"/>
              </w:rPr>
              <w:t>火点探测装置响应时间＜1ms；探测距离：火焰＜50m,15mm及以上拉弧＜200m；范围270°。</w:t>
            </w:r>
          </w:p>
        </w:tc>
        <w:tc>
          <w:tcPr>
            <w:tcW w:w="2333" w:type="dxa"/>
            <w:tcBorders>
              <w:top w:val="single" w:color="auto" w:sz="4" w:space="0"/>
              <w:bottom w:val="single" w:color="auto" w:sz="4" w:space="0"/>
            </w:tcBorders>
            <w:vAlign w:val="center"/>
          </w:tcPr>
          <w:p w14:paraId="2270350F">
            <w:pPr>
              <w:pStyle w:val="181"/>
              <w:jc w:val="both"/>
            </w:pPr>
            <w:r>
              <w:rPr>
                <w:rFonts w:hint="eastAsia"/>
              </w:rPr>
              <w:t>通过联动摄像头进行现场抓拍，</w:t>
            </w:r>
            <w:r>
              <w:t>报警信息与现场截图同时推送到平台及</w:t>
            </w:r>
            <w:r>
              <w:rPr>
                <w:rFonts w:hint="eastAsia"/>
              </w:rPr>
              <w:t>终</w:t>
            </w:r>
            <w:r>
              <w:t>端</w:t>
            </w:r>
            <w:r>
              <w:rPr>
                <w:rFonts w:hint="eastAsia"/>
              </w:rPr>
              <w:t>。</w:t>
            </w:r>
          </w:p>
        </w:tc>
      </w:tr>
      <w:tr w14:paraId="0A4DFE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4" w:type="dxa"/>
            <w:tcBorders>
              <w:top w:val="single" w:color="auto" w:sz="4" w:space="0"/>
              <w:bottom w:val="single" w:color="auto" w:sz="8" w:space="0"/>
            </w:tcBorders>
            <w:vAlign w:val="center"/>
          </w:tcPr>
          <w:p w14:paraId="17E3CD4F">
            <w:pPr>
              <w:pStyle w:val="181"/>
            </w:pPr>
            <w:r>
              <w:rPr>
                <w:rFonts w:hint="eastAsia"/>
              </w:rPr>
              <w:t>视频监控设施</w:t>
            </w:r>
          </w:p>
        </w:tc>
        <w:tc>
          <w:tcPr>
            <w:tcW w:w="2333" w:type="dxa"/>
            <w:tcBorders>
              <w:top w:val="single" w:color="auto" w:sz="4" w:space="0"/>
              <w:bottom w:val="single" w:color="auto" w:sz="8" w:space="0"/>
            </w:tcBorders>
            <w:vAlign w:val="center"/>
          </w:tcPr>
          <w:p w14:paraId="194818D5">
            <w:pPr>
              <w:pStyle w:val="181"/>
              <w:jc w:val="both"/>
            </w:pPr>
            <w:r>
              <w:rPr>
                <w:rFonts w:hint="eastAsia"/>
              </w:rPr>
              <w:t>实时采集电动汽车集中停放充电场所每一车位状态</w:t>
            </w:r>
          </w:p>
        </w:tc>
        <w:tc>
          <w:tcPr>
            <w:tcW w:w="2334" w:type="dxa"/>
            <w:tcBorders>
              <w:top w:val="single" w:color="auto" w:sz="4" w:space="0"/>
              <w:bottom w:val="single" w:color="auto" w:sz="8" w:space="0"/>
            </w:tcBorders>
            <w:vAlign w:val="center"/>
          </w:tcPr>
          <w:p w14:paraId="7DED61A4">
            <w:pPr>
              <w:pStyle w:val="181"/>
              <w:jc w:val="both"/>
            </w:pPr>
            <w:r>
              <w:rPr>
                <w:rFonts w:hint="eastAsia"/>
              </w:rPr>
              <w:t>视频监控系统应设置于消防控制室或24h专人值班的场所；具有储存不少于7天查询、回放等功能</w:t>
            </w:r>
          </w:p>
        </w:tc>
        <w:tc>
          <w:tcPr>
            <w:tcW w:w="2333" w:type="dxa"/>
            <w:tcBorders>
              <w:top w:val="single" w:color="auto" w:sz="4" w:space="0"/>
              <w:bottom w:val="single" w:color="auto" w:sz="8" w:space="0"/>
            </w:tcBorders>
            <w:vAlign w:val="center"/>
          </w:tcPr>
          <w:p w14:paraId="16C7CE9C">
            <w:pPr>
              <w:pStyle w:val="181"/>
              <w:jc w:val="both"/>
            </w:pPr>
          </w:p>
        </w:tc>
      </w:tr>
    </w:tbl>
    <w:p w14:paraId="6D1EE2D1">
      <w:pPr>
        <w:pStyle w:val="108"/>
        <w:spacing w:before="120" w:after="120"/>
        <w:ind w:left="0"/>
      </w:pPr>
      <w:r>
        <w:rPr>
          <w:rFonts w:hint="eastAsia"/>
        </w:rPr>
        <w:t>火灾探测报警系统</w:t>
      </w:r>
    </w:p>
    <w:p w14:paraId="54F04D68">
      <w:pPr>
        <w:pStyle w:val="168"/>
        <w:ind w:left="0"/>
      </w:pPr>
      <w:r>
        <w:rPr>
          <w:rFonts w:hint="eastAsia"/>
        </w:rPr>
        <w:t>室内停放充电场所及地下集中充电区域应设置火灾自动报警系统，每个充电车位上方至少设置1只感烟探测器，宜采用复合式探测器，宜增设图像型火灾探测器或红紫外复合火焰探测器。</w:t>
      </w:r>
    </w:p>
    <w:p w14:paraId="21D674C3">
      <w:pPr>
        <w:pStyle w:val="168"/>
        <w:ind w:left="0"/>
      </w:pPr>
      <w:r>
        <w:rPr>
          <w:rFonts w:hint="eastAsia"/>
        </w:rPr>
        <w:t>集中充电区域应设置可燃气体探测器，探测气体种类宜为氢气、一氧化碳，探测范围应覆盖所有充电车位及电池可能泄漏的区域，报警信号应接入火灾自动报警系统及智能消防监控平台。</w:t>
      </w:r>
    </w:p>
    <w:p w14:paraId="3B4A187C">
      <w:pPr>
        <w:pStyle w:val="168"/>
        <w:ind w:left="0"/>
      </w:pPr>
      <w:r>
        <w:rPr>
          <w:rFonts w:hint="eastAsia"/>
        </w:rPr>
        <w:t>火灾报警信号应能同时反馈至现场声光报警器及运营管理中心，现场应设置手动火灾报警按钮，手动报警按钮的设置间距不应大于30 m。</w:t>
      </w:r>
    </w:p>
    <w:p w14:paraId="5E1AB1D8">
      <w:pPr>
        <w:pStyle w:val="168"/>
        <w:ind w:left="0"/>
      </w:pPr>
      <w:r>
        <w:rPr>
          <w:rFonts w:hint="eastAsia"/>
        </w:rPr>
        <w:t>消防监控系统应实时监测火灾探测信号、电气设备运行参数、通风系统状态等，实现异常情况智能预警，并能与消防设施联动控制。</w:t>
      </w:r>
    </w:p>
    <w:p w14:paraId="06937DD0">
      <w:pPr>
        <w:pStyle w:val="107"/>
        <w:spacing w:before="240" w:after="240"/>
      </w:pPr>
      <w:bookmarkStart w:id="97" w:name="_Toc226453385"/>
      <w:bookmarkStart w:id="98" w:name="_Toc229401481"/>
      <w:bookmarkStart w:id="99" w:name="_Toc226444349"/>
      <w:r>
        <w:rPr>
          <w:rFonts w:hint="eastAsia"/>
        </w:rPr>
        <w:t>灭火设施</w:t>
      </w:r>
      <w:bookmarkEnd w:id="97"/>
      <w:bookmarkEnd w:id="98"/>
      <w:bookmarkEnd w:id="99"/>
    </w:p>
    <w:p w14:paraId="6505BDB7">
      <w:pPr>
        <w:pStyle w:val="165"/>
        <w:ind w:left="0"/>
      </w:pPr>
      <w:r>
        <w:rPr>
          <w:rFonts w:hint="eastAsia"/>
        </w:rPr>
        <w:t>室内停放充电场所及地下集中充电区域应设置自动喷水灭火系统，每个充电车位上方至少设置2个喷头，喷头动作温度宜为68 ℃。</w:t>
      </w:r>
    </w:p>
    <w:p w14:paraId="284C0E7E">
      <w:pPr>
        <w:pStyle w:val="165"/>
        <w:ind w:left="0"/>
      </w:pPr>
      <w:r>
        <w:rPr>
          <w:rFonts w:hint="eastAsia"/>
        </w:rPr>
        <w:t>宜增设底部喷淋装置。</w:t>
      </w:r>
    </w:p>
    <w:p w14:paraId="08D4B8AA">
      <w:pPr>
        <w:pStyle w:val="165"/>
        <w:ind w:left="0"/>
      </w:pPr>
      <w:r>
        <w:rPr>
          <w:rFonts w:hint="eastAsia"/>
        </w:rPr>
        <w:t>集中充电区域宜增设高压细水雾灭火系统，系统设计应符合相关技术标准，灭火效果应经实验验证。</w:t>
      </w:r>
    </w:p>
    <w:p w14:paraId="63BD10C5">
      <w:pPr>
        <w:pStyle w:val="165"/>
        <w:ind w:left="0"/>
      </w:pPr>
      <w:r>
        <w:rPr>
          <w:rFonts w:hint="eastAsia"/>
        </w:rPr>
        <w:t>灭火器配置应符合GB 50140的规定，按严重危险级配置，室内区域宜选用3 L及以上水基型灭火器或4kg及以上手提式干粉灭火器，室外区域宜选用推车式水基型灭火器或泡沫灭火器。</w:t>
      </w:r>
    </w:p>
    <w:p w14:paraId="67394C8D">
      <w:pPr>
        <w:pStyle w:val="165"/>
        <w:ind w:left="0"/>
      </w:pPr>
      <w:r>
        <w:rPr>
          <w:rFonts w:hint="eastAsia"/>
        </w:rPr>
        <w:t>灭火器配置点的间距不应大于9 m（室内）、15 m（室外），每个配置点不应少于2具灭火器；地下集中充电区域应额外增配1具推车式水基型灭火器，最大保护距离不应大于30 m。</w:t>
      </w:r>
    </w:p>
    <w:p w14:paraId="2E71E142">
      <w:pPr>
        <w:pStyle w:val="165"/>
        <w:ind w:left="0"/>
      </w:pPr>
      <w:r>
        <w:rPr>
          <w:rFonts w:hint="eastAsia"/>
        </w:rPr>
        <w:t>每个集中充电区域宜配置灭火毯、便携式高效泡沫灭火设备、防火挡水围栏等应急器材，放置于醒目且便于取用的位置。</w:t>
      </w:r>
    </w:p>
    <w:p w14:paraId="58EBE0DA">
      <w:pPr>
        <w:pStyle w:val="107"/>
        <w:spacing w:before="240" w:after="240"/>
      </w:pPr>
      <w:bookmarkStart w:id="100" w:name="_Toc226444350"/>
      <w:bookmarkStart w:id="101" w:name="_Toc229401482"/>
      <w:bookmarkStart w:id="102" w:name="_Toc226453386"/>
      <w:r>
        <w:rPr>
          <w:rFonts w:hint="eastAsia"/>
        </w:rPr>
        <w:t>隔离处置</w:t>
      </w:r>
      <w:bookmarkEnd w:id="100"/>
      <w:bookmarkEnd w:id="101"/>
      <w:bookmarkEnd w:id="102"/>
    </w:p>
    <w:p w14:paraId="15A47D81">
      <w:pPr>
        <w:pStyle w:val="108"/>
        <w:spacing w:before="120" w:after="120"/>
        <w:ind w:left="0"/>
      </w:pPr>
      <w:r>
        <w:rPr>
          <w:rFonts w:hint="eastAsia"/>
        </w:rPr>
        <w:t>应急处置设施配置</w:t>
      </w:r>
    </w:p>
    <w:p w14:paraId="626F8678">
      <w:pPr>
        <w:pStyle w:val="59"/>
        <w:ind w:firstLine="420"/>
      </w:pPr>
      <w:r>
        <w:rPr>
          <w:rFonts w:hint="eastAsia"/>
        </w:rPr>
        <w:t>集中充电区域宜配置智能化移车设备、控火毯、智能化/多功能围堰、电池热失控预警抑制系统、智能消防灭火机器人、柔性防火分隔装置等</w:t>
      </w:r>
      <w:r>
        <w:rPr>
          <w:rFonts w:hint="eastAsia"/>
          <w:lang w:eastAsia="zh-CN"/>
        </w:rPr>
        <w:t>创新型</w:t>
      </w:r>
      <w:r>
        <w:rPr>
          <w:rFonts w:hint="eastAsia"/>
        </w:rPr>
        <w:t>设施，各类设施的功能要求、核心性能及维护要求符合表2规定。</w:t>
      </w:r>
    </w:p>
    <w:p w14:paraId="6B8683CE">
      <w:pPr>
        <w:pStyle w:val="115"/>
        <w:spacing w:before="120" w:after="120"/>
      </w:pPr>
      <w:r>
        <w:rPr>
          <w:rFonts w:hint="eastAsia"/>
        </w:rPr>
        <w:t>应急处置设施配置及性能要求</w:t>
      </w:r>
    </w:p>
    <w:tbl>
      <w:tblPr>
        <w:tblStyle w:val="2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334"/>
        <w:gridCol w:w="2333"/>
        <w:gridCol w:w="2333"/>
        <w:gridCol w:w="2334"/>
      </w:tblGrid>
      <w:tr w14:paraId="232C85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2334" w:type="dxa"/>
            <w:tcBorders>
              <w:top w:val="single" w:color="auto" w:sz="8" w:space="0"/>
              <w:bottom w:val="single" w:color="auto" w:sz="4" w:space="0"/>
            </w:tcBorders>
          </w:tcPr>
          <w:p w14:paraId="227B6A5A">
            <w:pPr>
              <w:pStyle w:val="181"/>
            </w:pPr>
            <w:r>
              <w:rPr>
                <w:rFonts w:hint="eastAsia"/>
              </w:rPr>
              <w:t>设施类型</w:t>
            </w:r>
          </w:p>
        </w:tc>
        <w:tc>
          <w:tcPr>
            <w:tcW w:w="2333" w:type="dxa"/>
            <w:tcBorders>
              <w:top w:val="single" w:color="auto" w:sz="8" w:space="0"/>
              <w:bottom w:val="single" w:color="auto" w:sz="4" w:space="0"/>
            </w:tcBorders>
          </w:tcPr>
          <w:p w14:paraId="73ABC38D">
            <w:pPr>
              <w:pStyle w:val="181"/>
            </w:pPr>
            <w:r>
              <w:rPr>
                <w:rFonts w:hint="eastAsia"/>
              </w:rPr>
              <w:t>功能要求</w:t>
            </w:r>
          </w:p>
        </w:tc>
        <w:tc>
          <w:tcPr>
            <w:tcW w:w="2333" w:type="dxa"/>
            <w:tcBorders>
              <w:top w:val="single" w:color="auto" w:sz="8" w:space="0"/>
              <w:bottom w:val="single" w:color="auto" w:sz="4" w:space="0"/>
            </w:tcBorders>
          </w:tcPr>
          <w:p w14:paraId="1F79F5A8">
            <w:pPr>
              <w:pStyle w:val="181"/>
            </w:pPr>
            <w:r>
              <w:rPr>
                <w:rFonts w:hint="eastAsia"/>
              </w:rPr>
              <w:t>性能参数</w:t>
            </w:r>
          </w:p>
        </w:tc>
        <w:tc>
          <w:tcPr>
            <w:tcW w:w="2334" w:type="dxa"/>
            <w:tcBorders>
              <w:top w:val="single" w:color="auto" w:sz="8" w:space="0"/>
              <w:bottom w:val="single" w:color="auto" w:sz="4" w:space="0"/>
            </w:tcBorders>
          </w:tcPr>
          <w:p w14:paraId="24D1E435">
            <w:pPr>
              <w:pStyle w:val="181"/>
            </w:pPr>
            <w:r>
              <w:rPr>
                <w:rFonts w:hint="eastAsia"/>
              </w:rPr>
              <w:t>维护要求</w:t>
            </w:r>
          </w:p>
        </w:tc>
      </w:tr>
      <w:tr w14:paraId="5B0393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4" w:type="dxa"/>
            <w:tcBorders>
              <w:top w:val="single" w:color="auto" w:sz="4" w:space="0"/>
              <w:bottom w:val="single" w:color="auto" w:sz="4" w:space="0"/>
            </w:tcBorders>
            <w:vAlign w:val="center"/>
          </w:tcPr>
          <w:p w14:paraId="7E007A01">
            <w:pPr>
              <w:pStyle w:val="181"/>
            </w:pPr>
            <w:r>
              <w:t>智能化移车设备</w:t>
            </w:r>
          </w:p>
        </w:tc>
        <w:tc>
          <w:tcPr>
            <w:tcW w:w="2333" w:type="dxa"/>
            <w:tcBorders>
              <w:top w:val="single" w:color="auto" w:sz="4" w:space="0"/>
              <w:bottom w:val="single" w:color="auto" w:sz="4" w:space="0"/>
            </w:tcBorders>
            <w:vAlign w:val="center"/>
          </w:tcPr>
          <w:p w14:paraId="73557A70">
            <w:pPr>
              <w:pStyle w:val="181"/>
              <w:jc w:val="both"/>
            </w:pPr>
            <w:r>
              <w:rPr>
                <w:rFonts w:hint="eastAsia"/>
              </w:rPr>
              <w:t>可手动/联动启动，快速牵引故障车辆搬运，疏散周边车辆。阻断火势蔓延，适配常见乘用及轻型商用电动汽车。具备向上喷射</w:t>
            </w:r>
            <w:r>
              <w:rPr>
                <w:rFonts w:hint="eastAsia"/>
                <w:lang w:eastAsia="zh-CN"/>
              </w:rPr>
              <w:t>灭火剂</w:t>
            </w:r>
            <w:r>
              <w:rPr>
                <w:rFonts w:hint="eastAsia"/>
              </w:rPr>
              <w:t>功能。</w:t>
            </w:r>
          </w:p>
        </w:tc>
        <w:tc>
          <w:tcPr>
            <w:tcW w:w="2333" w:type="dxa"/>
            <w:tcBorders>
              <w:top w:val="single" w:color="auto" w:sz="4" w:space="0"/>
              <w:bottom w:val="single" w:color="auto" w:sz="4" w:space="0"/>
            </w:tcBorders>
            <w:vAlign w:val="center"/>
          </w:tcPr>
          <w:p w14:paraId="3147011E">
            <w:pPr>
              <w:pStyle w:val="181"/>
              <w:jc w:val="both"/>
            </w:pPr>
            <w:r>
              <w:t>电动动力，</w:t>
            </w:r>
            <w:r>
              <w:rPr>
                <w:rFonts w:hint="eastAsia"/>
              </w:rPr>
              <w:t>举升</w:t>
            </w:r>
            <w:r>
              <w:t>能力≥</w:t>
            </w:r>
            <w:r>
              <w:rPr>
                <w:rFonts w:hint="eastAsia"/>
              </w:rPr>
              <w:t>2.5</w:t>
            </w:r>
            <w:r>
              <w:t>吨，支持手动/联动控制；防护等级≥IP54，续航满足≥3次连续移车，外壳防火阻燃</w:t>
            </w:r>
            <w:r>
              <w:rPr>
                <w:rFonts w:hint="eastAsia"/>
              </w:rPr>
              <w:t>。</w:t>
            </w:r>
          </w:p>
        </w:tc>
        <w:tc>
          <w:tcPr>
            <w:tcW w:w="2334" w:type="dxa"/>
            <w:tcBorders>
              <w:top w:val="single" w:color="auto" w:sz="4" w:space="0"/>
              <w:bottom w:val="single" w:color="auto" w:sz="4" w:space="0"/>
            </w:tcBorders>
            <w:vAlign w:val="center"/>
          </w:tcPr>
          <w:p w14:paraId="0C029B11">
            <w:pPr>
              <w:pStyle w:val="181"/>
              <w:jc w:val="both"/>
            </w:pPr>
            <w:r>
              <w:t>每月查待机状态，每季度实操测试，每年全面性能检测，定期升级</w:t>
            </w:r>
            <w:r>
              <w:rPr>
                <w:rFonts w:hint="eastAsia"/>
              </w:rPr>
              <w:t>控制程序。</w:t>
            </w:r>
          </w:p>
        </w:tc>
      </w:tr>
      <w:tr w14:paraId="399583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4" w:type="dxa"/>
            <w:tcBorders>
              <w:top w:val="single" w:color="auto" w:sz="4" w:space="0"/>
              <w:bottom w:val="single" w:color="auto" w:sz="4" w:space="0"/>
            </w:tcBorders>
            <w:vAlign w:val="center"/>
          </w:tcPr>
          <w:p w14:paraId="6DF1F048">
            <w:pPr>
              <w:pStyle w:val="181"/>
            </w:pPr>
            <w:r>
              <w:rPr>
                <w:rFonts w:hint="eastAsia"/>
              </w:rPr>
              <w:t>智</w:t>
            </w:r>
            <w:r>
              <w:t>能化/多功能围堰设施</w:t>
            </w:r>
          </w:p>
        </w:tc>
        <w:tc>
          <w:tcPr>
            <w:tcW w:w="2333" w:type="dxa"/>
            <w:tcBorders>
              <w:top w:val="single" w:color="auto" w:sz="4" w:space="0"/>
              <w:bottom w:val="single" w:color="auto" w:sz="4" w:space="0"/>
            </w:tcBorders>
            <w:vAlign w:val="center"/>
          </w:tcPr>
          <w:p w14:paraId="759BF842">
            <w:pPr>
              <w:pStyle w:val="181"/>
              <w:jc w:val="both"/>
            </w:pPr>
            <w:r>
              <w:rPr>
                <w:rFonts w:hint="eastAsia"/>
              </w:rPr>
              <w:t>自动/手动闭合形成独立区域，收纳电池泄漏液及灭火废水，防止污染物扩散，不影响日常通行。</w:t>
            </w:r>
          </w:p>
        </w:tc>
        <w:tc>
          <w:tcPr>
            <w:tcW w:w="2333" w:type="dxa"/>
            <w:tcBorders>
              <w:top w:val="single" w:color="auto" w:sz="4" w:space="0"/>
              <w:bottom w:val="single" w:color="auto" w:sz="4" w:space="0"/>
            </w:tcBorders>
            <w:vAlign w:val="center"/>
          </w:tcPr>
          <w:p w14:paraId="7B8FF0C9">
            <w:pPr>
              <w:pStyle w:val="181"/>
              <w:jc w:val="both"/>
            </w:pPr>
            <w:r>
              <w:rPr>
                <w:rFonts w:hint="eastAsia"/>
              </w:rPr>
              <w:t>不燃耐腐蚀材质，支持手动/自动触发，60秒内闭合；高度≥15cm，带防渗漏检测、专用排水接口，非应急状态不影响通行。</w:t>
            </w:r>
          </w:p>
        </w:tc>
        <w:tc>
          <w:tcPr>
            <w:tcW w:w="2334" w:type="dxa"/>
            <w:tcBorders>
              <w:top w:val="single" w:color="auto" w:sz="4" w:space="0"/>
              <w:bottom w:val="single" w:color="auto" w:sz="4" w:space="0"/>
            </w:tcBorders>
            <w:vAlign w:val="center"/>
          </w:tcPr>
          <w:p w14:paraId="5C15561D">
            <w:pPr>
              <w:pStyle w:val="181"/>
              <w:jc w:val="both"/>
            </w:pPr>
            <w:r>
              <w:rPr>
                <w:rFonts w:hint="eastAsia"/>
              </w:rPr>
              <w:t>每</w:t>
            </w:r>
            <w:r>
              <w:rPr>
                <w:rFonts w:hint="eastAsia"/>
                <w:lang w:eastAsia="zh-CN"/>
              </w:rPr>
              <w:t>月检</w:t>
            </w:r>
            <w:r>
              <w:rPr>
                <w:rFonts w:hint="eastAsia"/>
              </w:rPr>
              <w:t>查开合灵活性，每季度测密封性能，定期清理杂物，防止锈蚀卡顿。</w:t>
            </w:r>
          </w:p>
        </w:tc>
      </w:tr>
      <w:tr w14:paraId="60F283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4" w:type="dxa"/>
            <w:tcBorders>
              <w:top w:val="single" w:color="auto" w:sz="4" w:space="0"/>
            </w:tcBorders>
            <w:vAlign w:val="center"/>
          </w:tcPr>
          <w:p w14:paraId="2D59292A">
            <w:pPr>
              <w:pStyle w:val="181"/>
            </w:pPr>
            <w:r>
              <w:rPr>
                <w:rFonts w:hint="eastAsia"/>
              </w:rPr>
              <w:t>柔性防火分隔装置</w:t>
            </w:r>
          </w:p>
        </w:tc>
        <w:tc>
          <w:tcPr>
            <w:tcW w:w="2333" w:type="dxa"/>
            <w:tcBorders>
              <w:top w:val="single" w:color="auto" w:sz="4" w:space="0"/>
            </w:tcBorders>
            <w:vAlign w:val="center"/>
          </w:tcPr>
          <w:p w14:paraId="508CF198">
            <w:pPr>
              <w:pStyle w:val="181"/>
              <w:jc w:val="both"/>
            </w:pPr>
            <w:r>
              <w:rPr>
                <w:rFonts w:hint="eastAsia"/>
              </w:rPr>
              <w:t>快速展开形成临时防火分区，阻隔火势及辐射热蔓延，收纳状态不影响疏散及通行。</w:t>
            </w:r>
          </w:p>
        </w:tc>
        <w:tc>
          <w:tcPr>
            <w:tcW w:w="2333" w:type="dxa"/>
            <w:tcBorders>
              <w:top w:val="single" w:color="auto" w:sz="4" w:space="0"/>
            </w:tcBorders>
            <w:vAlign w:val="center"/>
          </w:tcPr>
          <w:p w14:paraId="4A1D3D0B">
            <w:pPr>
              <w:pStyle w:val="181"/>
              <w:jc w:val="both"/>
            </w:pPr>
            <w:r>
              <w:t>防火布耐火极限≥</w:t>
            </w:r>
            <w:r>
              <w:rPr>
                <w:rFonts w:hint="eastAsia"/>
              </w:rPr>
              <w:t>1.5</w:t>
            </w:r>
            <w:r>
              <w:t>h，耐火温度≥900℃，自动展开时间≤ 60秒；展开高度≥2m，具备抗风、防辐射热性能，支持联动触发</w:t>
            </w:r>
            <w:r>
              <w:rPr>
                <w:rFonts w:hint="eastAsia"/>
              </w:rPr>
              <w:t>。</w:t>
            </w:r>
          </w:p>
        </w:tc>
        <w:tc>
          <w:tcPr>
            <w:tcW w:w="2334" w:type="dxa"/>
            <w:tcBorders>
              <w:top w:val="single" w:color="auto" w:sz="4" w:space="0"/>
            </w:tcBorders>
            <w:vAlign w:val="center"/>
          </w:tcPr>
          <w:p w14:paraId="5EBBAD41">
            <w:pPr>
              <w:pStyle w:val="181"/>
              <w:jc w:val="both"/>
            </w:pPr>
            <w:r>
              <w:rPr>
                <w:rFonts w:hint="eastAsia"/>
              </w:rPr>
              <w:t>每月检查收纳状态及传动机构，每半年测试展开功能，每年检测防火布完整性。</w:t>
            </w:r>
          </w:p>
        </w:tc>
      </w:tr>
      <w:tr w14:paraId="77BECF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4" w:type="dxa"/>
            <w:vAlign w:val="center"/>
          </w:tcPr>
          <w:p w14:paraId="6F9B0CF4">
            <w:pPr>
              <w:pStyle w:val="181"/>
            </w:pPr>
            <w:r>
              <w:t>控火毯</w:t>
            </w:r>
          </w:p>
        </w:tc>
        <w:tc>
          <w:tcPr>
            <w:tcW w:w="2333" w:type="dxa"/>
            <w:vAlign w:val="center"/>
          </w:tcPr>
          <w:p w14:paraId="2A4CE73A">
            <w:pPr>
              <w:pStyle w:val="181"/>
              <w:jc w:val="both"/>
            </w:pPr>
            <w:r>
              <w:rPr>
                <w:rFonts w:hint="eastAsia"/>
              </w:rPr>
              <w:t>快速覆盖火源，阻隔火焰蔓延，防止燃烧物飞溅，适配充电车位火灾初期处置。</w:t>
            </w:r>
          </w:p>
        </w:tc>
        <w:tc>
          <w:tcPr>
            <w:tcW w:w="2333" w:type="dxa"/>
            <w:vAlign w:val="center"/>
          </w:tcPr>
          <w:p w14:paraId="634F6161">
            <w:pPr>
              <w:pStyle w:val="181"/>
              <w:jc w:val="both"/>
            </w:pPr>
            <w:r>
              <w:rPr>
                <w:rFonts w:hint="eastAsia"/>
              </w:rPr>
              <w:t>玻璃纤维涂覆硅胶材质，规格≥7m×4m，耐火极限≥1.5h，带加强绳及收纳袋，耐高温、阻燃、防渗漏。</w:t>
            </w:r>
          </w:p>
        </w:tc>
        <w:tc>
          <w:tcPr>
            <w:tcW w:w="2334" w:type="dxa"/>
            <w:vAlign w:val="center"/>
          </w:tcPr>
          <w:p w14:paraId="7757A0C0">
            <w:pPr>
              <w:pStyle w:val="181"/>
              <w:jc w:val="both"/>
            </w:pPr>
            <w:r>
              <w:t>每</w:t>
            </w:r>
            <w:r>
              <w:rPr>
                <w:rFonts w:hint="eastAsia"/>
                <w:lang w:eastAsia="zh-CN"/>
              </w:rPr>
              <w:t>月检</w:t>
            </w:r>
            <w:r>
              <w:t>查完整性，每2年强制更换；使用后及时清理检测，破损件按危废</w:t>
            </w:r>
            <w:r>
              <w:rPr>
                <w:rFonts w:hint="eastAsia"/>
              </w:rPr>
              <w:t>处置。</w:t>
            </w:r>
          </w:p>
        </w:tc>
      </w:tr>
    </w:tbl>
    <w:p w14:paraId="56B36E93">
      <w:pPr>
        <w:pStyle w:val="107"/>
        <w:spacing w:before="240" w:after="240"/>
      </w:pPr>
      <w:bookmarkStart w:id="103" w:name="_Toc226444351"/>
      <w:bookmarkStart w:id="104" w:name="_Toc226453387"/>
      <w:bookmarkStart w:id="105" w:name="_Toc229401483"/>
      <w:r>
        <w:rPr>
          <w:rFonts w:hint="eastAsia"/>
        </w:rPr>
        <w:t>应急疏散</w:t>
      </w:r>
      <w:bookmarkEnd w:id="103"/>
      <w:bookmarkEnd w:id="104"/>
      <w:bookmarkEnd w:id="105"/>
    </w:p>
    <w:p w14:paraId="0014DC46">
      <w:pPr>
        <w:pStyle w:val="108"/>
        <w:spacing w:before="120" w:after="120"/>
        <w:ind w:left="0"/>
      </w:pPr>
      <w:r>
        <w:rPr>
          <w:rFonts w:hint="eastAsia"/>
        </w:rPr>
        <w:t>应急疏散与标识</w:t>
      </w:r>
    </w:p>
    <w:p w14:paraId="3B531C88">
      <w:pPr>
        <w:pStyle w:val="168"/>
        <w:ind w:left="0"/>
      </w:pPr>
      <w:r>
        <w:rPr>
          <w:rFonts w:hint="eastAsia"/>
        </w:rPr>
        <w:t>停放充电场所应设置清晰的疏散指示标志和消防应急照明，应急照明持续供电时间不应少于90min，疏散指示标志的间距不应大于20 m（室内）、30 m（室外）。</w:t>
      </w:r>
    </w:p>
    <w:p w14:paraId="7E7A6299">
      <w:pPr>
        <w:pStyle w:val="168"/>
        <w:ind w:left="0"/>
      </w:pPr>
      <w:r>
        <w:rPr>
          <w:rFonts w:hint="eastAsia"/>
        </w:rPr>
        <w:t>消防车道、疏散通道应保持畅通，宽度不应小于4 m，转弯半径应满足消防车通行要求，严禁在车道内设置障碍物。</w:t>
      </w:r>
    </w:p>
    <w:p w14:paraId="38258337">
      <w:pPr>
        <w:pStyle w:val="168"/>
        <w:ind w:left="0"/>
      </w:pPr>
      <w:r>
        <w:rPr>
          <w:rFonts w:hint="eastAsia"/>
        </w:rPr>
        <w:t>消防安全标识应符合DB11/T 2315的要求，在充电区域入口、充电设备旁、消防设施位置设置警示标识、操作说明标识及疏散指示标识，标识应清晰、牢固、醒目。</w:t>
      </w:r>
    </w:p>
    <w:p w14:paraId="1227A3BC">
      <w:pPr>
        <w:pStyle w:val="168"/>
        <w:ind w:left="0"/>
      </w:pPr>
      <w:r>
        <w:rPr>
          <w:rFonts w:hint="eastAsia"/>
        </w:rPr>
        <w:t>应在行车道路口放置具有闪光功能的行车导向标识的应急标牌，划定车辆的临时应急停放区域，临时停放区域的设置应避免出现二次拥堵。</w:t>
      </w:r>
    </w:p>
    <w:p w14:paraId="15C1131B">
      <w:pPr>
        <w:pStyle w:val="168"/>
        <w:ind w:left="0"/>
      </w:pPr>
      <w:r>
        <w:rPr>
          <w:rFonts w:hint="eastAsia"/>
        </w:rPr>
        <w:t>宜配置智能移车机器人、多功能围堰、柔性防火分隔装置等应急处置设施。</w:t>
      </w:r>
    </w:p>
    <w:p w14:paraId="4CA62982">
      <w:pPr>
        <w:pStyle w:val="108"/>
        <w:spacing w:before="120" w:after="120"/>
        <w:ind w:left="0"/>
      </w:pPr>
      <w:r>
        <w:rPr>
          <w:rFonts w:hint="eastAsia"/>
        </w:rPr>
        <w:t>排烟与通风</w:t>
      </w:r>
    </w:p>
    <w:p w14:paraId="1D933439">
      <w:pPr>
        <w:pStyle w:val="168"/>
        <w:ind w:left="0"/>
      </w:pPr>
      <w:r>
        <w:rPr>
          <w:rFonts w:hint="eastAsia"/>
        </w:rPr>
        <w:t>地下、半地下及封闭空间内的集中充电区域应设置机械排烟系统，排烟量应按该区域建筑面积每平方米不</w:t>
      </w:r>
      <w:r>
        <w:rPr>
          <w:rFonts w:hint="eastAsia"/>
          <w:lang w:eastAsia="zh-CN"/>
        </w:rPr>
        <w:t>小于</w:t>
      </w:r>
      <w:r>
        <w:rPr>
          <w:rFonts w:hint="eastAsia"/>
        </w:rPr>
        <w:t>60 m³/h计算，排烟口应设置在区域顶部或侧墙高处，且应直通室外。</w:t>
      </w:r>
    </w:p>
    <w:p w14:paraId="334739F0">
      <w:pPr>
        <w:pStyle w:val="168"/>
        <w:ind w:left="0"/>
      </w:pPr>
      <w:r>
        <w:rPr>
          <w:rFonts w:hint="eastAsia"/>
        </w:rPr>
        <w:t>通风系统应采用防爆型风机，风管应采用不燃材料制作，风管上的防火阀应与火灾自动报警系统联动，火灾时能自动关闭防火阀并启动排烟系统。</w:t>
      </w:r>
    </w:p>
    <w:p w14:paraId="4E866DC0">
      <w:pPr>
        <w:pStyle w:val="168"/>
        <w:ind w:left="0"/>
      </w:pPr>
      <w:r>
        <w:rPr>
          <w:rFonts w:hint="eastAsia"/>
        </w:rPr>
        <w:t>通风、排烟系统应定期检查维护，确保风机运转正常、风管无堵塞，每季度至少进行1次功能测试。</w:t>
      </w:r>
    </w:p>
    <w:p w14:paraId="58D83E4C">
      <w:pPr>
        <w:pStyle w:val="107"/>
        <w:spacing w:before="240" w:after="240"/>
      </w:pPr>
      <w:bookmarkStart w:id="106" w:name="_Toc226444352"/>
      <w:bookmarkStart w:id="107" w:name="_Toc226453388"/>
      <w:bookmarkStart w:id="108" w:name="_Toc229401484"/>
      <w:r>
        <w:rPr>
          <w:rFonts w:hint="eastAsia"/>
        </w:rPr>
        <w:t>运维管理</w:t>
      </w:r>
      <w:bookmarkEnd w:id="106"/>
      <w:bookmarkEnd w:id="107"/>
      <w:bookmarkEnd w:id="108"/>
    </w:p>
    <w:p w14:paraId="4F1D408C">
      <w:pPr>
        <w:pStyle w:val="108"/>
        <w:spacing w:before="120" w:after="120"/>
        <w:ind w:left="0"/>
      </w:pPr>
      <w:r>
        <w:rPr>
          <w:rFonts w:hint="eastAsia"/>
        </w:rPr>
        <w:t>用电安全</w:t>
      </w:r>
    </w:p>
    <w:p w14:paraId="30422B8E">
      <w:pPr>
        <w:pStyle w:val="168"/>
        <w:ind w:left="0"/>
      </w:pPr>
      <w:r>
        <w:rPr>
          <w:rFonts w:hint="eastAsia"/>
        </w:rPr>
        <w:t>充电设施供配电系统应独立设置，采用阻燃或耐火电缆，电缆敷设应符合GB 50217的规定，穿管保护并做好防火封堵，严禁电缆裸露敷设或穿越易燃区域。</w:t>
      </w:r>
    </w:p>
    <w:p w14:paraId="758DA140">
      <w:pPr>
        <w:pStyle w:val="168"/>
        <w:ind w:left="0"/>
      </w:pPr>
      <w:r>
        <w:rPr>
          <w:rFonts w:hint="eastAsia"/>
        </w:rPr>
        <w:t>配电箱、配电柜应设置在通风干燥、不易碰撞的位置，箱内电缆进出线孔洞应用阻燃防火泥封堵严密，防止小动物进入或凝露腐蚀设备。</w:t>
      </w:r>
    </w:p>
    <w:p w14:paraId="55701D11">
      <w:pPr>
        <w:pStyle w:val="168"/>
        <w:ind w:left="0"/>
      </w:pPr>
      <w:r>
        <w:rPr>
          <w:rFonts w:hint="eastAsia"/>
        </w:rPr>
        <w:t>供配电系统应设置短路、过载、漏电保护装置，漏电保护开关动作电流值宜设置为100mA及以下，动作时间宜为最小时间，每月至少进行1次动作试验，每年至少进行1次特性试验。</w:t>
      </w:r>
    </w:p>
    <w:p w14:paraId="49180917">
      <w:pPr>
        <w:pStyle w:val="168"/>
        <w:ind w:left="0"/>
      </w:pPr>
      <w:r>
        <w:rPr>
          <w:rFonts w:hint="eastAsia"/>
        </w:rPr>
        <w:t>高压配电设备应符合相关电气安全标准，SF6环网柜应定期监测气压，确保处于正常工作范围，发现气压偏低时应及时检修更换。</w:t>
      </w:r>
      <w:r>
        <w:rPr>
          <w:rFonts w:ascii="Times New Roman"/>
        </w:rPr>
        <w:t>​</w:t>
      </w:r>
    </w:p>
    <w:p w14:paraId="3A21911F">
      <w:pPr>
        <w:pStyle w:val="108"/>
        <w:spacing w:before="120" w:after="120"/>
        <w:ind w:left="0"/>
      </w:pPr>
      <w:r>
        <w:rPr>
          <w:rFonts w:hint="eastAsia"/>
        </w:rPr>
        <w:t>日常巡检</w:t>
      </w:r>
      <w:r>
        <w:rPr>
          <w:rFonts w:ascii="Times New Roman"/>
        </w:rPr>
        <w:t>​</w:t>
      </w:r>
    </w:p>
    <w:p w14:paraId="34C91CF7">
      <w:pPr>
        <w:pStyle w:val="168"/>
        <w:ind w:left="0"/>
      </w:pPr>
      <w:r>
        <w:rPr>
          <w:rFonts w:hint="eastAsia"/>
        </w:rPr>
        <w:t>电气线路、设备应定期进行检测，每月至少开展1次日常巡检，每半年至少进行1次专项检测，每年至少进行1次全面电气安全评估，及时消除线路老化、接触不良、绝缘破损等隐患。</w:t>
      </w:r>
    </w:p>
    <w:p w14:paraId="22690D3E">
      <w:pPr>
        <w:pStyle w:val="168"/>
        <w:ind w:left="0"/>
      </w:pPr>
      <w:r>
        <w:rPr>
          <w:rFonts w:hint="eastAsia"/>
        </w:rPr>
        <w:t>巡检内容应包括电缆温度、接地电阻、漏电保护装置状态、浪涌保护器性能、充电设备运行参数等，做好巡检记录，建立电气安全档案。</w:t>
      </w:r>
      <w:r>
        <w:rPr>
          <w:rFonts w:ascii="Times New Roman"/>
        </w:rPr>
        <w:t>​</w:t>
      </w:r>
    </w:p>
    <w:p w14:paraId="332DD160">
      <w:pPr>
        <w:pStyle w:val="168"/>
        <w:ind w:left="0"/>
      </w:pPr>
      <w:r>
        <w:rPr>
          <w:rFonts w:hint="eastAsia"/>
        </w:rPr>
        <w:t>应配置电气火灾早期监测预警系统，系统需集成故障电弧探测、AI智能参数分析功能。</w:t>
      </w:r>
    </w:p>
    <w:p w14:paraId="5B8963EA">
      <w:pPr>
        <w:pStyle w:val="59"/>
        <w:ind w:firstLine="420"/>
      </w:pPr>
    </w:p>
    <w:p w14:paraId="45974E44">
      <w:pPr>
        <w:pStyle w:val="201"/>
        <w:rPr>
          <w:rFonts w:hint="eastAsia"/>
          <w:vanish w:val="0"/>
        </w:rPr>
      </w:pPr>
    </w:p>
    <w:p w14:paraId="583F803E">
      <w:pPr>
        <w:pStyle w:val="202"/>
        <w:rPr>
          <w:vanish w:val="0"/>
        </w:rPr>
      </w:pPr>
    </w:p>
    <w:p w14:paraId="33F6274A">
      <w:pPr>
        <w:pStyle w:val="59"/>
        <w:ind w:firstLine="420"/>
      </w:pPr>
    </w:p>
    <w:p w14:paraId="23A20FA4">
      <w:pPr>
        <w:pStyle w:val="59"/>
        <w:ind w:firstLine="420"/>
        <w:sectPr>
          <w:pgSz w:w="11906" w:h="16838"/>
          <w:pgMar w:top="1928" w:right="1134" w:bottom="1134" w:left="1134" w:header="1418" w:footer="1134" w:gutter="284"/>
          <w:cols w:space="425" w:num="1"/>
          <w:formProt w:val="0"/>
          <w:docGrid w:linePitch="312" w:charSpace="0"/>
        </w:sectPr>
      </w:pPr>
    </w:p>
    <w:bookmarkEnd w:id="32"/>
    <w:p w14:paraId="2FAAA8A8">
      <w:pPr>
        <w:pStyle w:val="201"/>
        <w:rPr>
          <w:rFonts w:hint="eastAsia"/>
          <w:vanish w:val="0"/>
        </w:rPr>
      </w:pPr>
      <w:bookmarkStart w:id="109" w:name="BookMark5"/>
    </w:p>
    <w:p w14:paraId="1285F60F">
      <w:pPr>
        <w:pStyle w:val="202"/>
        <w:rPr>
          <w:vanish w:val="0"/>
        </w:rPr>
      </w:pPr>
    </w:p>
    <w:p w14:paraId="541C6EF8">
      <w:pPr>
        <w:pStyle w:val="79"/>
        <w:spacing w:after="120"/>
      </w:pPr>
      <w:r>
        <w:br w:type="textWrapping"/>
      </w:r>
      <w:bookmarkStart w:id="110" w:name="_Toc226444353"/>
      <w:bookmarkStart w:id="111" w:name="_Toc229401485"/>
      <w:bookmarkStart w:id="112" w:name="_Toc226453389"/>
      <w:r>
        <w:rPr>
          <w:rFonts w:hint="eastAsia"/>
        </w:rPr>
        <w:t>（资料性）</w:t>
      </w:r>
      <w:r>
        <w:br w:type="textWrapping"/>
      </w:r>
      <w:r>
        <w:rPr>
          <w:rFonts w:hint="eastAsia"/>
        </w:rPr>
        <w:t>选址与布局的标准要求索引</w:t>
      </w:r>
      <w:bookmarkEnd w:id="110"/>
      <w:bookmarkEnd w:id="111"/>
      <w:bookmarkEnd w:id="112"/>
    </w:p>
    <w:p w14:paraId="16A24D33">
      <w:pPr>
        <w:pStyle w:val="81"/>
        <w:spacing w:before="120" w:after="120"/>
      </w:pPr>
      <w:r>
        <w:rPr>
          <w:rFonts w:hint="eastAsia"/>
        </w:rPr>
        <w:t>选址</w:t>
      </w:r>
    </w:p>
    <w:p w14:paraId="6B785C64">
      <w:pPr>
        <w:pStyle w:val="215"/>
      </w:pPr>
      <w:r>
        <w:rPr>
          <w:rFonts w:hint="eastAsia"/>
        </w:rPr>
        <w:t>室外停放充电场所应远离易燃易爆危险品仓库、加油站、加气站等场所，安全距离应符合GB 50016的相关规定。</w:t>
      </w:r>
    </w:p>
    <w:p w14:paraId="037D5162">
      <w:pPr>
        <w:pStyle w:val="215"/>
      </w:pPr>
      <w:r>
        <w:rPr>
          <w:rFonts w:hint="eastAsia"/>
        </w:rPr>
        <w:t>室内停放充电场所仅限设置在一、二级耐火等级建筑内，严禁设于木结构、砖木结构建筑。</w:t>
      </w:r>
    </w:p>
    <w:p w14:paraId="79A7C330">
      <w:pPr>
        <w:pStyle w:val="215"/>
      </w:pPr>
      <w:r>
        <w:rPr>
          <w:rFonts w:hint="eastAsia"/>
        </w:rPr>
        <w:t>地下充电区域宜设置在地下一层，严禁设于地下四层及以下，执行《汽车库、修车库、停车场设计防火规范》（GB 50067-2014）、GA 1535-2019 相关规定；地下每层充电区域面积占该层总面积比例≤30%，且与非充电区域采取有效防火分隔。</w:t>
      </w:r>
    </w:p>
    <w:p w14:paraId="33F7F72F">
      <w:pPr>
        <w:pStyle w:val="215"/>
      </w:pPr>
      <w:r>
        <w:rPr>
          <w:rFonts w:hint="eastAsia"/>
        </w:rPr>
        <w:t>地上停放场所与甲乙类危险品仓库、燃气站等易燃易爆场所的最小安全间距≥50m，执行 GB 50067-2014 强制性要求；与高层建筑裙房距离≥10m，与住宅建筑外墙面距离≥6m，参照《电动汽车分散充电设施工程技术标准》（GB/T 51313-2018）规定。</w:t>
      </w:r>
    </w:p>
    <w:p w14:paraId="4AD28B88">
      <w:pPr>
        <w:pStyle w:val="215"/>
      </w:pPr>
      <w:r>
        <w:rPr>
          <w:rFonts w:hint="eastAsia"/>
        </w:rPr>
        <w:t>单台额定功率≥120kW 的大功率充电设施，应集中布置在地上区域，严禁设置在地下密闭空间内。</w:t>
      </w:r>
    </w:p>
    <w:p w14:paraId="0A3FC8DC">
      <w:pPr>
        <w:pStyle w:val="81"/>
        <w:spacing w:before="120" w:after="120"/>
      </w:pPr>
      <w:r>
        <w:rPr>
          <w:rFonts w:hint="eastAsia"/>
        </w:rPr>
        <w:t>防火分区划分</w:t>
      </w:r>
    </w:p>
    <w:p w14:paraId="4C095B57">
      <w:pPr>
        <w:pStyle w:val="215"/>
      </w:pPr>
      <w:r>
        <w:rPr>
          <w:rFonts w:hint="eastAsia"/>
        </w:rPr>
        <w:t>集中充电区域应在同一防火分区内集中布置，与其他区域采用耐火极限不小于2.0 h的防火隔墙、防火卷帘或防火分隔水幕等设施分隔，分隔设施应符合GB 50084、GB 50067的要求；当防火隔墙上开设连通门时，应采用乙级及以上防火门。</w:t>
      </w:r>
    </w:p>
    <w:p w14:paraId="1E01F405">
      <w:pPr>
        <w:pStyle w:val="215"/>
      </w:pPr>
      <w:r>
        <w:rPr>
          <w:rFonts w:hint="eastAsia"/>
        </w:rPr>
        <w:t>集中充电区域内每个防火单元的最大允许建筑面积应符合表1的规定，防火单元之间应采用耐火极限不小于2.0 h的防火隔墙分隔，严禁跨越防火单元布置充电设备。</w:t>
      </w:r>
    </w:p>
    <w:p w14:paraId="71338EB7">
      <w:pPr>
        <w:pStyle w:val="80"/>
        <w:spacing w:before="120" w:after="120"/>
      </w:pPr>
      <w:r>
        <w:rPr>
          <w:rFonts w:hint="eastAsia"/>
        </w:rPr>
        <w:t>防火单元最大允许面积（㎡）</w:t>
      </w:r>
    </w:p>
    <w:tbl>
      <w:tblPr>
        <w:tblStyle w:val="2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0" w:type="dxa"/>
        </w:tblCellMar>
      </w:tblPr>
      <w:tblGrid>
        <w:gridCol w:w="3110"/>
        <w:gridCol w:w="2692"/>
        <w:gridCol w:w="3532"/>
      </w:tblGrid>
      <w:tr w14:paraId="5AEA0B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0" w:type="dxa"/>
          </w:tblCellMar>
        </w:tblPrEx>
        <w:trPr>
          <w:tblHeader/>
          <w:jc w:val="center"/>
        </w:trPr>
        <w:tc>
          <w:tcPr>
            <w:tcW w:w="3110" w:type="dxa"/>
            <w:tcBorders>
              <w:top w:val="single" w:color="auto" w:sz="8" w:space="0"/>
              <w:bottom w:val="single" w:color="auto" w:sz="8" w:space="0"/>
            </w:tcBorders>
          </w:tcPr>
          <w:p w14:paraId="6624CD2E">
            <w:pPr>
              <w:pStyle w:val="181"/>
            </w:pPr>
            <w:r>
              <w:rPr>
                <w:rFonts w:hint="eastAsia"/>
              </w:rPr>
              <w:t>场所类型</w:t>
            </w:r>
          </w:p>
        </w:tc>
        <w:tc>
          <w:tcPr>
            <w:tcW w:w="2692" w:type="dxa"/>
            <w:tcBorders>
              <w:top w:val="single" w:color="auto" w:sz="8" w:space="0"/>
              <w:bottom w:val="single" w:color="auto" w:sz="8" w:space="0"/>
            </w:tcBorders>
          </w:tcPr>
          <w:p w14:paraId="2CE05DEA">
            <w:pPr>
              <w:pStyle w:val="181"/>
            </w:pPr>
            <w:r>
              <w:rPr>
                <w:rFonts w:hint="eastAsia"/>
              </w:rPr>
              <w:t>耐火等级</w:t>
            </w:r>
          </w:p>
        </w:tc>
        <w:tc>
          <w:tcPr>
            <w:tcW w:w="3532" w:type="dxa"/>
            <w:tcBorders>
              <w:top w:val="single" w:color="auto" w:sz="8" w:space="0"/>
              <w:bottom w:val="single" w:color="auto" w:sz="8" w:space="0"/>
            </w:tcBorders>
          </w:tcPr>
          <w:p w14:paraId="367FABAE">
            <w:pPr>
              <w:pStyle w:val="181"/>
            </w:pPr>
            <w:r>
              <w:rPr>
                <w:rFonts w:hint="eastAsia"/>
              </w:rPr>
              <w:t>最大允许建筑面积</w:t>
            </w:r>
          </w:p>
        </w:tc>
      </w:tr>
      <w:tr w14:paraId="1C9C54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0" w:type="dxa"/>
          </w:tblCellMar>
        </w:tblPrEx>
        <w:trPr>
          <w:jc w:val="center"/>
        </w:trPr>
        <w:tc>
          <w:tcPr>
            <w:tcW w:w="3110" w:type="dxa"/>
            <w:tcBorders>
              <w:top w:val="single" w:color="auto" w:sz="8" w:space="0"/>
            </w:tcBorders>
          </w:tcPr>
          <w:p w14:paraId="5FCBE12B">
            <w:pPr>
              <w:pStyle w:val="181"/>
            </w:pPr>
            <w:r>
              <w:rPr>
                <w:rFonts w:hint="eastAsia"/>
              </w:rPr>
              <w:t>地上汽车库/停车场</w:t>
            </w:r>
          </w:p>
        </w:tc>
        <w:tc>
          <w:tcPr>
            <w:tcW w:w="2692" w:type="dxa"/>
            <w:tcBorders>
              <w:top w:val="single" w:color="auto" w:sz="8" w:space="0"/>
            </w:tcBorders>
          </w:tcPr>
          <w:p w14:paraId="2B8A20BD">
            <w:pPr>
              <w:pStyle w:val="181"/>
            </w:pPr>
            <w:r>
              <w:rPr>
                <w:rFonts w:hint="eastAsia"/>
              </w:rPr>
              <w:t>一、二级</w:t>
            </w:r>
          </w:p>
        </w:tc>
        <w:tc>
          <w:tcPr>
            <w:tcW w:w="3532" w:type="dxa"/>
            <w:tcBorders>
              <w:top w:val="single" w:color="auto" w:sz="8" w:space="0"/>
            </w:tcBorders>
          </w:tcPr>
          <w:p w14:paraId="6D16BEA3">
            <w:pPr>
              <w:pStyle w:val="181"/>
            </w:pPr>
            <w:r>
              <w:rPr>
                <w:rFonts w:hint="eastAsia"/>
              </w:rPr>
              <w:t>1250</w:t>
            </w:r>
          </w:p>
        </w:tc>
      </w:tr>
      <w:tr w14:paraId="4A0B3E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0" w:type="dxa"/>
          </w:tblCellMar>
        </w:tblPrEx>
        <w:trPr>
          <w:jc w:val="center"/>
        </w:trPr>
        <w:tc>
          <w:tcPr>
            <w:tcW w:w="3110" w:type="dxa"/>
          </w:tcPr>
          <w:p w14:paraId="345317AD">
            <w:pPr>
              <w:pStyle w:val="181"/>
            </w:pPr>
            <w:r>
              <w:rPr>
                <w:rFonts w:hint="eastAsia"/>
              </w:rPr>
              <w:t>地下汽车库（首层）</w:t>
            </w:r>
          </w:p>
        </w:tc>
        <w:tc>
          <w:tcPr>
            <w:tcW w:w="2692" w:type="dxa"/>
          </w:tcPr>
          <w:p w14:paraId="72C02475">
            <w:pPr>
              <w:pStyle w:val="181"/>
            </w:pPr>
            <w:r>
              <w:rPr>
                <w:rFonts w:hint="eastAsia"/>
              </w:rPr>
              <w:t>一级</w:t>
            </w:r>
          </w:p>
        </w:tc>
        <w:tc>
          <w:tcPr>
            <w:tcW w:w="3532" w:type="dxa"/>
          </w:tcPr>
          <w:p w14:paraId="504389D3">
            <w:pPr>
              <w:pStyle w:val="181"/>
            </w:pPr>
            <w:r>
              <w:rPr>
                <w:rFonts w:hint="eastAsia"/>
              </w:rPr>
              <w:t>625</w:t>
            </w:r>
          </w:p>
        </w:tc>
      </w:tr>
      <w:tr w14:paraId="0D05EF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0" w:type="dxa"/>
          </w:tblCellMar>
        </w:tblPrEx>
        <w:trPr>
          <w:jc w:val="center"/>
        </w:trPr>
        <w:tc>
          <w:tcPr>
            <w:tcW w:w="3110" w:type="dxa"/>
          </w:tcPr>
          <w:p w14:paraId="2C59DB6A">
            <w:pPr>
              <w:pStyle w:val="181"/>
            </w:pPr>
            <w:r>
              <w:rPr>
                <w:rFonts w:hint="eastAsia"/>
              </w:rPr>
              <w:t>露天停车场</w:t>
            </w:r>
          </w:p>
        </w:tc>
        <w:tc>
          <w:tcPr>
            <w:tcW w:w="2692" w:type="dxa"/>
          </w:tcPr>
          <w:p w14:paraId="0E4329EF">
            <w:pPr>
              <w:pStyle w:val="181"/>
            </w:pPr>
            <w:r>
              <w:rPr>
                <w:rFonts w:hint="eastAsia"/>
              </w:rPr>
              <w:t>-</w:t>
            </w:r>
          </w:p>
        </w:tc>
        <w:tc>
          <w:tcPr>
            <w:tcW w:w="3532" w:type="dxa"/>
          </w:tcPr>
          <w:p w14:paraId="41AC60AF">
            <w:pPr>
              <w:pStyle w:val="181"/>
            </w:pPr>
            <w:r>
              <w:rPr>
                <w:rFonts w:hint="eastAsia"/>
              </w:rPr>
              <w:t>2500（可按防火间距不小于10m划分区域）</w:t>
            </w:r>
          </w:p>
        </w:tc>
      </w:tr>
    </w:tbl>
    <w:p w14:paraId="4DB39D6C">
      <w:pPr>
        <w:pStyle w:val="59"/>
        <w:ind w:firstLine="420"/>
      </w:pPr>
    </w:p>
    <w:p w14:paraId="70FC507B">
      <w:pPr>
        <w:pStyle w:val="59"/>
        <w:ind w:firstLine="420"/>
      </w:pPr>
    </w:p>
    <w:p w14:paraId="51826E65">
      <w:pPr>
        <w:pStyle w:val="59"/>
        <w:ind w:firstLine="420"/>
      </w:pPr>
    </w:p>
    <w:p w14:paraId="79FE6146">
      <w:pPr>
        <w:pStyle w:val="59"/>
        <w:ind w:firstLine="420"/>
      </w:pPr>
    </w:p>
    <w:p w14:paraId="0101ED23">
      <w:pPr>
        <w:pStyle w:val="59"/>
        <w:ind w:firstLine="420"/>
      </w:pPr>
    </w:p>
    <w:bookmarkEnd w:id="109"/>
    <w:p w14:paraId="7679B0F3">
      <w:pPr>
        <w:pStyle w:val="59"/>
        <w:ind w:firstLine="420"/>
        <w:sectPr>
          <w:pgSz w:w="11906" w:h="16838"/>
          <w:pgMar w:top="1928" w:right="1134" w:bottom="1134" w:left="1134" w:header="1418" w:footer="1134" w:gutter="284"/>
          <w:cols w:space="425" w:num="1"/>
          <w:formProt w:val="0"/>
          <w:docGrid w:linePitch="312" w:charSpace="0"/>
        </w:sectPr>
      </w:pPr>
      <w:bookmarkStart w:id="113" w:name="BookMark6"/>
    </w:p>
    <w:p w14:paraId="285D2D29">
      <w:pPr>
        <w:pStyle w:val="66"/>
        <w:spacing w:after="120"/>
      </w:pPr>
      <w:bookmarkStart w:id="114" w:name="_Toc226444354"/>
      <w:bookmarkStart w:id="115" w:name="_Toc226453390"/>
      <w:bookmarkStart w:id="116" w:name="_Toc229401486"/>
      <w:r>
        <w:rPr>
          <w:rFonts w:hint="eastAsia"/>
          <w:spacing w:val="105"/>
        </w:rPr>
        <w:t>参考文</w:t>
      </w:r>
      <w:r>
        <w:rPr>
          <w:rFonts w:hint="eastAsia"/>
        </w:rPr>
        <w:t>献</w:t>
      </w:r>
      <w:bookmarkEnd w:id="114"/>
      <w:bookmarkEnd w:id="115"/>
      <w:bookmarkEnd w:id="116"/>
    </w:p>
    <w:p w14:paraId="487BEF0D">
      <w:pPr>
        <w:pStyle w:val="59"/>
        <w:ind w:firstLine="420"/>
      </w:pPr>
      <w:bookmarkStart w:id="117" w:name="OLE_LINK2"/>
      <w:r>
        <w:rPr>
          <w:rFonts w:hint="eastAsia"/>
        </w:rPr>
        <w:t>[1</w:t>
      </w:r>
      <w:r>
        <w:t>]</w:t>
      </w:r>
      <w:bookmarkEnd w:id="117"/>
      <w:r>
        <w:rPr>
          <w:rFonts w:hint="eastAsia"/>
        </w:rPr>
        <w:t xml:space="preserve"> </w:t>
      </w:r>
      <w:r>
        <w:t xml:space="preserve">GB/T 33594 </w:t>
      </w:r>
      <w:r>
        <w:rPr>
          <w:rFonts w:hint="eastAsia"/>
        </w:rPr>
        <w:t>电动汽车充电用电缆</w:t>
      </w:r>
    </w:p>
    <w:p w14:paraId="0DA92950">
      <w:pPr>
        <w:pStyle w:val="59"/>
        <w:ind w:firstLine="420"/>
      </w:pPr>
      <w:r>
        <w:t>[</w:t>
      </w:r>
      <w:r>
        <w:rPr>
          <w:rFonts w:hint="eastAsia"/>
        </w:rPr>
        <w:t>2</w:t>
      </w:r>
      <w:r>
        <w:t>]</w:t>
      </w:r>
      <w:r>
        <w:rPr>
          <w:rFonts w:hint="eastAsia"/>
        </w:rPr>
        <w:t xml:space="preserve"> </w:t>
      </w:r>
      <w:r>
        <w:t>GB/T 19666</w:t>
      </w:r>
      <w:r>
        <w:rPr>
          <w:rFonts w:hint="eastAsia"/>
        </w:rPr>
        <w:t xml:space="preserve"> 阻燃和耐火电线电缆或光缆通则</w:t>
      </w:r>
    </w:p>
    <w:p w14:paraId="404F5DB1">
      <w:pPr>
        <w:pStyle w:val="59"/>
        <w:ind w:firstLine="420"/>
      </w:pPr>
      <w:r>
        <w:t>[</w:t>
      </w:r>
      <w:r>
        <w:rPr>
          <w:rFonts w:hint="eastAsia"/>
        </w:rPr>
        <w:t>3</w:t>
      </w:r>
      <w:r>
        <w:t>]</w:t>
      </w:r>
      <w:r>
        <w:rPr>
          <w:rFonts w:hint="eastAsia"/>
        </w:rPr>
        <w:t xml:space="preserve"> GB 38031-2020 电动汽车用动力蓄电池安全要求</w:t>
      </w:r>
    </w:p>
    <w:p w14:paraId="3FCA1582">
      <w:pPr>
        <w:pStyle w:val="59"/>
        <w:ind w:firstLine="420"/>
      </w:pPr>
      <w:r>
        <w:t>[</w:t>
      </w:r>
      <w:r>
        <w:rPr>
          <w:rFonts w:hint="eastAsia"/>
        </w:rPr>
        <w:t>4</w:t>
      </w:r>
      <w:r>
        <w:t>]</w:t>
      </w:r>
      <w:r>
        <w:rPr>
          <w:rFonts w:hint="eastAsia"/>
        </w:rPr>
        <w:t xml:space="preserve"> GB 38283-2019 电动汽车灾害事故应急救援指南</w:t>
      </w:r>
    </w:p>
    <w:p w14:paraId="46A7FDA2">
      <w:pPr>
        <w:pStyle w:val="59"/>
        <w:ind w:firstLine="420"/>
      </w:pPr>
      <w:r>
        <w:t>[</w:t>
      </w:r>
      <w:r>
        <w:rPr>
          <w:rFonts w:hint="eastAsia"/>
        </w:rPr>
        <w:t>5</w:t>
      </w:r>
      <w:r>
        <w:t>]</w:t>
      </w:r>
      <w:r>
        <w:rPr>
          <w:rFonts w:hint="eastAsia"/>
        </w:rPr>
        <w:t xml:space="preserve"> GB 50217 电力工程电缆设计规范</w:t>
      </w:r>
    </w:p>
    <w:p w14:paraId="35BA0EC9">
      <w:pPr>
        <w:pStyle w:val="59"/>
        <w:ind w:firstLine="420"/>
      </w:pPr>
      <w:r>
        <w:t>[</w:t>
      </w:r>
      <w:r>
        <w:rPr>
          <w:rFonts w:hint="eastAsia"/>
        </w:rPr>
        <w:t>6</w:t>
      </w:r>
      <w:r>
        <w:t>]</w:t>
      </w:r>
      <w:r>
        <w:rPr>
          <w:rFonts w:hint="eastAsia"/>
        </w:rPr>
        <w:t xml:space="preserve"> GB/T 18487.1 电动汽车传导充电系统 第1部分：通用要求</w:t>
      </w:r>
    </w:p>
    <w:p w14:paraId="3DD6142E">
      <w:pPr>
        <w:pStyle w:val="59"/>
        <w:ind w:firstLine="420"/>
      </w:pPr>
      <w:r>
        <w:t>[</w:t>
      </w:r>
      <w:r>
        <w:rPr>
          <w:rFonts w:hint="eastAsia"/>
        </w:rPr>
        <w:t>7</w:t>
      </w:r>
      <w:r>
        <w:t>]</w:t>
      </w:r>
      <w:r>
        <w:rPr>
          <w:rFonts w:hint="eastAsia"/>
        </w:rPr>
        <w:t xml:space="preserve"> GB/T 32960 电动汽车远程服务与管理系统技术规范</w:t>
      </w:r>
    </w:p>
    <w:p w14:paraId="2D1E2AFC">
      <w:pPr>
        <w:pStyle w:val="59"/>
        <w:ind w:firstLine="420"/>
      </w:pPr>
      <w:r>
        <w:t>[</w:t>
      </w:r>
      <w:r>
        <w:rPr>
          <w:rFonts w:hint="eastAsia"/>
        </w:rPr>
        <w:t>8</w:t>
      </w:r>
      <w:r>
        <w:t>]</w:t>
      </w:r>
      <w:r>
        <w:rPr>
          <w:rFonts w:hint="eastAsia"/>
        </w:rPr>
        <w:t xml:space="preserve"> DL 5027 电力设备典型消防规程</w:t>
      </w:r>
    </w:p>
    <w:p w14:paraId="15ED10B6">
      <w:pPr>
        <w:pStyle w:val="59"/>
        <w:ind w:firstLine="420"/>
      </w:pPr>
    </w:p>
    <w:p w14:paraId="6FDE12F3">
      <w:pPr>
        <w:pStyle w:val="59"/>
        <w:ind w:firstLine="420"/>
      </w:pPr>
      <w:bookmarkStart w:id="119" w:name="_GoBack"/>
      <w:bookmarkEnd w:id="119"/>
    </w:p>
    <w:bookmarkEnd w:id="113"/>
    <w:p w14:paraId="365D6777">
      <w:pPr>
        <w:pStyle w:val="59"/>
        <w:ind w:firstLine="420"/>
      </w:pPr>
    </w:p>
    <w:p w14:paraId="1F47EAF9">
      <w:pPr>
        <w:pStyle w:val="59"/>
        <w:ind w:firstLine="0" w:firstLineChars="0"/>
        <w:jc w:val="center"/>
      </w:pPr>
      <w:bookmarkStart w:id="118" w:name="BookMark8"/>
      <w:r>
        <w:drawing>
          <wp:inline distT="0" distB="0" distL="0" distR="0">
            <wp:extent cx="1485900" cy="317500"/>
            <wp:effectExtent l="0" t="0" r="0" b="6350"/>
            <wp:docPr id="1751280149" name="图片 3"/>
            <wp:cNvGraphicFramePr/>
            <a:graphic xmlns:a="http://schemas.openxmlformats.org/drawingml/2006/main">
              <a:graphicData uri="http://schemas.openxmlformats.org/drawingml/2006/picture">
                <pic:pic xmlns:pic="http://schemas.openxmlformats.org/drawingml/2006/picture">
                  <pic:nvPicPr>
                    <pic:cNvPr id="1751280149" name="图片 3"/>
                    <pic:cNvPicPr/>
                  </pic:nvPicPr>
                  <pic:blipFill>
                    <a:blip r:embed="rId17">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118"/>
    </w:p>
    <w:sectPr>
      <w:pgSz w:w="11906" w:h="16838"/>
      <w:pgMar w:top="1928" w:right="1134" w:bottom="1134" w:left="1134" w:header="1418" w:footer="1134" w:gutter="284"/>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C3CB59">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C18B81">
    <w:pPr>
      <w:pStyle w:val="18"/>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770011">
    <w:pPr>
      <w:pStyle w:val="18"/>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6603DF">
    <w:pPr>
      <w:pStyle w:val="55"/>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617A5F">
    <w:pPr>
      <w:pStyle w:val="19"/>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AF35DC">
    <w:pPr>
      <w:pStyle w:val="1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389C78">
    <w:pPr>
      <w:pStyle w:val="19"/>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3D94B7">
    <w:pPr>
      <w:pStyle w:val="64"/>
      <w:rPr>
        <w:rFonts w:hint="eastAsia"/>
      </w:rPr>
    </w:pPr>
    <w:r>
      <w:fldChar w:fldCharType="begin"/>
    </w:r>
    <w:r>
      <w:instrText xml:space="preserve"> STYLEREF  标准文件_文件编号  \* MERGEFORMAT </w:instrText>
    </w:r>
    <w:r>
      <w:fldChar w:fldCharType="separate"/>
    </w:r>
    <w:r>
      <w:t>T/XXX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7C710A">
    <w:pPr>
      <w:pStyle w:val="19"/>
      <w:jc w:val="right"/>
    </w:pPr>
    <w:r>
      <w:fldChar w:fldCharType="begin"/>
    </w:r>
    <w:r>
      <w:instrText xml:space="preserve"> STYLEREF  标准文件_文件编号  \* MERGEFORMAT </w:instrText>
    </w:r>
    <w:r>
      <w:fldChar w:fldCharType="separate"/>
    </w:r>
    <w:r>
      <w:t>T/XXX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7"/>
      <w:lvlText w:val="[%1]"/>
      <w:lvlJc w:val="left"/>
      <w:pPr>
        <w:tabs>
          <w:tab w:val="left" w:pos="5758"/>
        </w:tabs>
        <w:ind w:left="5758" w:hanging="648"/>
      </w:pPr>
    </w:lvl>
    <w:lvl w:ilvl="1" w:tentative="0">
      <w:start w:val="1"/>
      <w:numFmt w:val="lowerLetter"/>
      <w:lvlText w:val="%2)"/>
      <w:lvlJc w:val="left"/>
      <w:pPr>
        <w:tabs>
          <w:tab w:val="left" w:pos="5950"/>
        </w:tabs>
        <w:ind w:left="5950" w:hanging="420"/>
      </w:pPr>
    </w:lvl>
    <w:lvl w:ilvl="2" w:tentative="0">
      <w:start w:val="1"/>
      <w:numFmt w:val="lowerRoman"/>
      <w:lvlText w:val="%3."/>
      <w:lvlJc w:val="right"/>
      <w:pPr>
        <w:tabs>
          <w:tab w:val="left" w:pos="6370"/>
        </w:tabs>
        <w:ind w:left="6370" w:hanging="420"/>
      </w:pPr>
    </w:lvl>
    <w:lvl w:ilvl="3" w:tentative="0">
      <w:start w:val="1"/>
      <w:numFmt w:val="decimal"/>
      <w:lvlText w:val="%4."/>
      <w:lvlJc w:val="left"/>
      <w:pPr>
        <w:tabs>
          <w:tab w:val="left" w:pos="6790"/>
        </w:tabs>
        <w:ind w:left="6790" w:hanging="420"/>
      </w:pPr>
    </w:lvl>
    <w:lvl w:ilvl="4" w:tentative="0">
      <w:start w:val="1"/>
      <w:numFmt w:val="lowerLetter"/>
      <w:lvlText w:val="%5)"/>
      <w:lvlJc w:val="left"/>
      <w:pPr>
        <w:tabs>
          <w:tab w:val="left" w:pos="7210"/>
        </w:tabs>
        <w:ind w:left="7210" w:hanging="420"/>
      </w:pPr>
    </w:lvl>
    <w:lvl w:ilvl="5" w:tentative="0">
      <w:start w:val="1"/>
      <w:numFmt w:val="lowerRoman"/>
      <w:lvlText w:val="%6."/>
      <w:lvlJc w:val="right"/>
      <w:pPr>
        <w:tabs>
          <w:tab w:val="left" w:pos="7630"/>
        </w:tabs>
        <w:ind w:left="7630" w:hanging="420"/>
      </w:pPr>
    </w:lvl>
    <w:lvl w:ilvl="6" w:tentative="0">
      <w:start w:val="1"/>
      <w:numFmt w:val="decimal"/>
      <w:lvlText w:val="%7."/>
      <w:lvlJc w:val="left"/>
      <w:pPr>
        <w:tabs>
          <w:tab w:val="left" w:pos="8050"/>
        </w:tabs>
        <w:ind w:left="8050" w:hanging="420"/>
      </w:pPr>
    </w:lvl>
    <w:lvl w:ilvl="7" w:tentative="0">
      <w:start w:val="1"/>
      <w:numFmt w:val="lowerLetter"/>
      <w:lvlText w:val="%8)"/>
      <w:lvlJc w:val="left"/>
      <w:pPr>
        <w:tabs>
          <w:tab w:val="left" w:pos="8470"/>
        </w:tabs>
        <w:ind w:left="8470" w:hanging="420"/>
      </w:pPr>
    </w:lvl>
    <w:lvl w:ilvl="8" w:tentative="0">
      <w:start w:val="1"/>
      <w:numFmt w:val="lowerRoman"/>
      <w:lvlText w:val="%9."/>
      <w:lvlJc w:val="right"/>
      <w:pPr>
        <w:tabs>
          <w:tab w:val="left" w:pos="8890"/>
        </w:tabs>
        <w:ind w:left="8890"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2"/>
      <w:suff w:val="nothing"/>
      <w:lvlText w:val="%1%2.%3　"/>
      <w:lvlJc w:val="left"/>
      <w:pPr>
        <w:ind w:left="0" w:firstLine="0"/>
      </w:pPr>
    </w:lvl>
    <w:lvl w:ilvl="3" w:tentative="0">
      <w:start w:val="1"/>
      <w:numFmt w:val="decimal"/>
      <w:pStyle w:val="121"/>
      <w:suff w:val="nothing"/>
      <w:lvlText w:val="%1%2.%3.%4　"/>
      <w:lvlJc w:val="left"/>
      <w:pPr>
        <w:ind w:left="0" w:firstLine="0"/>
      </w:pPr>
    </w:lvl>
    <w:lvl w:ilvl="4" w:tentative="0">
      <w:start w:val="1"/>
      <w:numFmt w:val="decimal"/>
      <w:pStyle w:val="156"/>
      <w:suff w:val="nothing"/>
      <w:lvlText w:val="%1%2.%3.%4.%5　"/>
      <w:lvlJc w:val="left"/>
      <w:pPr>
        <w:ind w:left="0" w:firstLine="0"/>
      </w:pPr>
    </w:lvl>
    <w:lvl w:ilvl="5" w:tentative="0">
      <w:start w:val="1"/>
      <w:numFmt w:val="decimal"/>
      <w:pStyle w:val="158"/>
      <w:suff w:val="nothing"/>
      <w:lvlText w:val="%1%2.%3.%4.%5.%6　"/>
      <w:lvlJc w:val="left"/>
      <w:pPr>
        <w:ind w:left="0" w:firstLine="0"/>
      </w:pPr>
    </w:lvl>
    <w:lvl w:ilvl="6" w:tentative="0">
      <w:start w:val="1"/>
      <w:numFmt w:val="decimal"/>
      <w:pStyle w:val="161"/>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3"/>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2"/>
      <w:lvlText w:val="%1"/>
      <w:lvlJc w:val="left"/>
      <w:pPr>
        <w:ind w:left="425" w:hanging="425"/>
      </w:pPr>
      <w:rPr>
        <w:rFonts w:hint="eastAsia"/>
      </w:rPr>
    </w:lvl>
    <w:lvl w:ilvl="1" w:tentative="0">
      <w:start w:val="1"/>
      <w:numFmt w:val="decimal"/>
      <w:pStyle w:val="203"/>
      <w:suff w:val="nothing"/>
      <w:lvlText w:val="%10.%2 "/>
      <w:lvlJc w:val="left"/>
      <w:pPr>
        <w:ind w:left="0" w:firstLine="0"/>
      </w:pPr>
      <w:rPr>
        <w:rFonts w:hint="eastAsia" w:ascii="黑体" w:eastAsia="黑体" w:hAnsiTheme="minorHAnsi"/>
        <w:b w:val="0"/>
        <w:i w:val="0"/>
        <w:sz w:val="21"/>
      </w:rPr>
    </w:lvl>
    <w:lvl w:ilvl="2" w:tentative="0">
      <w:start w:val="1"/>
      <w:numFmt w:val="decimal"/>
      <w:pStyle w:val="204"/>
      <w:suff w:val="nothing"/>
      <w:lvlText w:val="%10.%2.%3 "/>
      <w:lvlJc w:val="left"/>
      <w:pPr>
        <w:ind w:left="0" w:firstLine="0"/>
      </w:pPr>
      <w:rPr>
        <w:rFonts w:hint="eastAsia" w:ascii="黑体" w:eastAsia="黑体" w:hAnsiTheme="minorHAnsi"/>
        <w:b w:val="0"/>
        <w:i w:val="0"/>
        <w:sz w:val="21"/>
      </w:rPr>
    </w:lvl>
    <w:lvl w:ilvl="3" w:tentative="0">
      <w:start w:val="1"/>
      <w:numFmt w:val="decimal"/>
      <w:pStyle w:val="205"/>
      <w:suff w:val="nothing"/>
      <w:lvlText w:val="%10.%2.%3.%4 "/>
      <w:lvlJc w:val="left"/>
      <w:pPr>
        <w:ind w:left="0" w:firstLine="0"/>
      </w:pPr>
      <w:rPr>
        <w:rFonts w:hint="eastAsia" w:ascii="黑体" w:eastAsia="黑体" w:hAnsiTheme="minorHAnsi"/>
        <w:b w:val="0"/>
        <w:i w:val="0"/>
        <w:sz w:val="21"/>
      </w:rPr>
    </w:lvl>
    <w:lvl w:ilvl="4" w:tentative="0">
      <w:start w:val="1"/>
      <w:numFmt w:val="decimal"/>
      <w:pStyle w:val="206"/>
      <w:suff w:val="nothing"/>
      <w:lvlText w:val="%10.%2.%3.%4.%5 "/>
      <w:lvlJc w:val="left"/>
      <w:pPr>
        <w:ind w:left="0" w:firstLine="0"/>
      </w:pPr>
      <w:rPr>
        <w:rFonts w:hint="eastAsia" w:ascii="黑体" w:eastAsia="黑体" w:hAnsiTheme="minorHAnsi"/>
        <w:b w:val="0"/>
        <w:i w:val="0"/>
        <w:sz w:val="21"/>
      </w:rPr>
    </w:lvl>
    <w:lvl w:ilvl="5" w:tentative="0">
      <w:start w:val="1"/>
      <w:numFmt w:val="decimal"/>
      <w:pStyle w:val="207"/>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4"/>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70"/>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2"/>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3"/>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8"/>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5"/>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5"/>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0"/>
      <w:lvlText w:val=""/>
      <w:lvlJc w:val="left"/>
      <w:pPr>
        <w:ind w:left="851" w:hanging="431"/>
      </w:pPr>
      <w:rPr>
        <w:rFonts w:hint="default" w:ascii="Symbol" w:hAnsi="Symbol"/>
        <w:sz w:val="21"/>
      </w:rPr>
    </w:lvl>
    <w:lvl w:ilvl="2" w:tentative="0">
      <w:start w:val="1"/>
      <w:numFmt w:val="bullet"/>
      <w:pStyle w:val="175"/>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4"/>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7"/>
      <w:lvlText w:val="%1)"/>
      <w:lvlJc w:val="left"/>
      <w:pPr>
        <w:tabs>
          <w:tab w:val="left" w:pos="851"/>
        </w:tabs>
        <w:ind w:left="851" w:hanging="426"/>
      </w:pPr>
      <w:rPr>
        <w:rFonts w:hint="eastAsia" w:ascii="宋体" w:hAnsi="Times New Roman" w:eastAsia="宋体"/>
        <w:sz w:val="21"/>
      </w:rPr>
    </w:lvl>
    <w:lvl w:ilvl="1" w:tentative="0">
      <w:start w:val="1"/>
      <w:numFmt w:val="decimal"/>
      <w:pStyle w:val="112"/>
      <w:lvlText w:val="%2)"/>
      <w:lvlJc w:val="left"/>
      <w:pPr>
        <w:tabs>
          <w:tab w:val="left" w:pos="1276"/>
        </w:tabs>
        <w:ind w:left="1276" w:hanging="425"/>
      </w:pPr>
      <w:rPr>
        <w:rFonts w:hint="eastAsia" w:ascii="宋体" w:hAnsi="Times New Roman" w:eastAsia="宋体"/>
        <w:sz w:val="21"/>
      </w:rPr>
    </w:lvl>
    <w:lvl w:ilvl="2" w:tentative="0">
      <w:start w:val="1"/>
      <w:numFmt w:val="decimal"/>
      <w:pStyle w:val="120"/>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201"/>
      <w:lvlText w:val="%1"/>
      <w:lvlJc w:val="left"/>
      <w:pPr>
        <w:ind w:left="420" w:hanging="420"/>
      </w:pPr>
      <w:rPr>
        <w:rFonts w:hint="eastAsia"/>
      </w:rPr>
    </w:lvl>
    <w:lvl w:ilvl="1" w:tentative="0">
      <w:start w:val="1"/>
      <w:numFmt w:val="decimal"/>
      <w:pStyle w:val="86"/>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6"/>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9"/>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6"/>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7"/>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202"/>
      <w:suff w:val="space"/>
      <w:lvlText w:val="%1"/>
      <w:lvlJc w:val="left"/>
      <w:pPr>
        <w:ind w:left="425" w:hanging="425"/>
      </w:pPr>
      <w:rPr>
        <w:rFonts w:hint="eastAsia"/>
      </w:rPr>
    </w:lvl>
    <w:lvl w:ilvl="1" w:tentative="0">
      <w:start w:val="1"/>
      <w:numFmt w:val="decimal"/>
      <w:pStyle w:val="80"/>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4"/>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71"/>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5"/>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92"/>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9"/>
      <w:suff w:val="nothing"/>
      <w:lvlText w:val="附录%1"/>
      <w:lvlJc w:val="left"/>
      <w:pPr>
        <w:ind w:left="0" w:firstLine="0"/>
      </w:pPr>
      <w:rPr>
        <w:rFonts w:hint="eastAsia"/>
        <w:spacing w:val="100"/>
      </w:rPr>
    </w:lvl>
    <w:lvl w:ilvl="1" w:tentative="0">
      <w:start w:val="1"/>
      <w:numFmt w:val="decimal"/>
      <w:pStyle w:val="81"/>
      <w:suff w:val="nothing"/>
      <w:lvlText w:val="%1.%2　"/>
      <w:lvlJc w:val="left"/>
      <w:pPr>
        <w:ind w:left="0" w:firstLine="0"/>
      </w:pPr>
      <w:rPr>
        <w:rFonts w:hint="eastAsia" w:ascii="黑体" w:eastAsia="黑体"/>
        <w:b w:val="0"/>
        <w:i w:val="0"/>
        <w:sz w:val="21"/>
      </w:rPr>
    </w:lvl>
    <w:lvl w:ilvl="2" w:tentative="0">
      <w:start w:val="1"/>
      <w:numFmt w:val="decimal"/>
      <w:pStyle w:val="82"/>
      <w:suff w:val="nothing"/>
      <w:lvlText w:val="%1.%2.%3　"/>
      <w:lvlJc w:val="left"/>
      <w:pPr>
        <w:ind w:left="0" w:firstLine="0"/>
      </w:pPr>
      <w:rPr>
        <w:rFonts w:hint="eastAsia" w:ascii="黑体" w:eastAsia="黑体"/>
        <w:b w:val="0"/>
        <w:i w:val="0"/>
        <w:sz w:val="21"/>
      </w:rPr>
    </w:lvl>
    <w:lvl w:ilvl="3" w:tentative="0">
      <w:start w:val="1"/>
      <w:numFmt w:val="decimal"/>
      <w:pStyle w:val="84"/>
      <w:suff w:val="nothing"/>
      <w:lvlText w:val="%1.%2.%3.%4　"/>
      <w:lvlJc w:val="left"/>
      <w:pPr>
        <w:ind w:left="0" w:firstLine="0"/>
      </w:pPr>
      <w:rPr>
        <w:rFonts w:hint="eastAsia" w:ascii="黑体" w:eastAsia="黑体"/>
        <w:b w:val="0"/>
        <w:i w:val="0"/>
        <w:sz w:val="21"/>
      </w:rPr>
    </w:lvl>
    <w:lvl w:ilvl="4" w:tentative="0">
      <w:start w:val="1"/>
      <w:numFmt w:val="decimal"/>
      <w:pStyle w:val="85"/>
      <w:suff w:val="nothing"/>
      <w:lvlText w:val="%1.%2.%3.%4.%5　"/>
      <w:lvlJc w:val="left"/>
      <w:pPr>
        <w:ind w:left="0" w:firstLine="0"/>
      </w:pPr>
      <w:rPr>
        <w:rFonts w:hint="eastAsia" w:ascii="黑体" w:eastAsia="黑体"/>
        <w:b w:val="0"/>
        <w:i w:val="0"/>
        <w:sz w:val="21"/>
      </w:rPr>
    </w:lvl>
    <w:lvl w:ilvl="5" w:tentative="0">
      <w:start w:val="1"/>
      <w:numFmt w:val="decimal"/>
      <w:pStyle w:val="87"/>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91"/>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100"/>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6"/>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5"/>
      <w:suff w:val="nothing"/>
      <w:lvlText w:val="%1"/>
      <w:lvlJc w:val="left"/>
      <w:pPr>
        <w:ind w:left="0" w:firstLine="0"/>
      </w:pPr>
      <w:rPr>
        <w:rFonts w:hint="eastAsia"/>
      </w:rPr>
    </w:lvl>
    <w:lvl w:ilvl="1" w:tentative="0">
      <w:start w:val="1"/>
      <w:numFmt w:val="decimal"/>
      <w:pStyle w:val="107"/>
      <w:suff w:val="nothing"/>
      <w:lvlText w:val="%1%2　"/>
      <w:lvlJc w:val="left"/>
      <w:pPr>
        <w:ind w:left="0" w:firstLine="0"/>
      </w:pPr>
      <w:rPr>
        <w:rFonts w:hint="eastAsia" w:ascii="黑体" w:eastAsia="黑体"/>
        <w:b w:val="0"/>
        <w:i w:val="0"/>
        <w:sz w:val="21"/>
      </w:rPr>
    </w:lvl>
    <w:lvl w:ilvl="2" w:tentative="0">
      <w:start w:val="1"/>
      <w:numFmt w:val="decimal"/>
      <w:pStyle w:val="108"/>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68"/>
      <w:suff w:val="nothing"/>
      <w:lvlText w:val="%1%2.%3.%4　"/>
      <w:lvlJc w:val="left"/>
      <w:pPr>
        <w:ind w:left="568" w:firstLine="0"/>
      </w:pPr>
      <w:rPr>
        <w:rFonts w:hint="eastAsia" w:ascii="黑体" w:eastAsia="黑体"/>
        <w:b w:val="0"/>
        <w:i w:val="0"/>
        <w:sz w:val="21"/>
      </w:rPr>
    </w:lvl>
    <w:lvl w:ilvl="4" w:tentative="0">
      <w:start w:val="1"/>
      <w:numFmt w:val="decimal"/>
      <w:pStyle w:val="97"/>
      <w:suff w:val="nothing"/>
      <w:lvlText w:val="%1%2.%3.%4.%5　"/>
      <w:lvlJc w:val="left"/>
      <w:pPr>
        <w:ind w:left="0" w:firstLine="0"/>
      </w:pPr>
      <w:rPr>
        <w:rFonts w:hint="eastAsia" w:ascii="黑体" w:eastAsia="黑体"/>
        <w:b w:val="0"/>
        <w:i w:val="0"/>
        <w:sz w:val="21"/>
      </w:rPr>
    </w:lvl>
    <w:lvl w:ilvl="5" w:tentative="0">
      <w:start w:val="1"/>
      <w:numFmt w:val="decimal"/>
      <w:pStyle w:val="101"/>
      <w:suff w:val="nothing"/>
      <w:lvlText w:val="%1%2.%3.%4.%5.%6　"/>
      <w:lvlJc w:val="left"/>
      <w:pPr>
        <w:ind w:left="0" w:firstLine="0"/>
      </w:pPr>
      <w:rPr>
        <w:rFonts w:hint="eastAsia" w:ascii="黑体" w:eastAsia="黑体"/>
        <w:b w:val="0"/>
        <w:i w:val="0"/>
        <w:sz w:val="21"/>
      </w:rPr>
    </w:lvl>
    <w:lvl w:ilvl="6" w:tentative="0">
      <w:start w:val="1"/>
      <w:numFmt w:val="decimal"/>
      <w:pStyle w:val="106"/>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82"/>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8"/>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42"/>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attachedTemplate r:id="rId1"/>
  <w:documentProtection w:edit="forms"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Y1Y2JmODMwOGQyZjE1MzY5MmYwOWU1ZGVjZTNiMjAifQ=="/>
  </w:docVars>
  <w:rsids>
    <w:rsidRoot w:val="002605AB"/>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324F"/>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8F7"/>
    <w:rsid w:val="00060C2E"/>
    <w:rsid w:val="00061033"/>
    <w:rsid w:val="000619E9"/>
    <w:rsid w:val="000622D4"/>
    <w:rsid w:val="0006357D"/>
    <w:rsid w:val="00063D10"/>
    <w:rsid w:val="00067081"/>
    <w:rsid w:val="00067F1E"/>
    <w:rsid w:val="00071CC0"/>
    <w:rsid w:val="00071CFC"/>
    <w:rsid w:val="00073C8C"/>
    <w:rsid w:val="00077B64"/>
    <w:rsid w:val="00080A1C"/>
    <w:rsid w:val="000811C1"/>
    <w:rsid w:val="00082317"/>
    <w:rsid w:val="00083D2C"/>
    <w:rsid w:val="00086AA1"/>
    <w:rsid w:val="00087A77"/>
    <w:rsid w:val="00090CA6"/>
    <w:rsid w:val="0009243D"/>
    <w:rsid w:val="00092B8A"/>
    <w:rsid w:val="00092FB0"/>
    <w:rsid w:val="000934C5"/>
    <w:rsid w:val="00093D25"/>
    <w:rsid w:val="00093DAB"/>
    <w:rsid w:val="00094D73"/>
    <w:rsid w:val="00096D63"/>
    <w:rsid w:val="000A0B60"/>
    <w:rsid w:val="000A0EB8"/>
    <w:rsid w:val="000A19FC"/>
    <w:rsid w:val="000A296B"/>
    <w:rsid w:val="000A37CA"/>
    <w:rsid w:val="000A38B8"/>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5B96"/>
    <w:rsid w:val="000F5CCD"/>
    <w:rsid w:val="000F67E9"/>
    <w:rsid w:val="00104589"/>
    <w:rsid w:val="00104926"/>
    <w:rsid w:val="00113B1E"/>
    <w:rsid w:val="0011711C"/>
    <w:rsid w:val="001209FF"/>
    <w:rsid w:val="00124E4F"/>
    <w:rsid w:val="001260B7"/>
    <w:rsid w:val="001265CB"/>
    <w:rsid w:val="00130B3F"/>
    <w:rsid w:val="001321C6"/>
    <w:rsid w:val="001325C4"/>
    <w:rsid w:val="00133010"/>
    <w:rsid w:val="001338EE"/>
    <w:rsid w:val="00133AAE"/>
    <w:rsid w:val="00135323"/>
    <w:rsid w:val="001356C4"/>
    <w:rsid w:val="0013622E"/>
    <w:rsid w:val="00137565"/>
    <w:rsid w:val="00141114"/>
    <w:rsid w:val="00142969"/>
    <w:rsid w:val="001446C2"/>
    <w:rsid w:val="001457E7"/>
    <w:rsid w:val="00145D9D"/>
    <w:rsid w:val="00146388"/>
    <w:rsid w:val="00147843"/>
    <w:rsid w:val="001529E5"/>
    <w:rsid w:val="00152FB3"/>
    <w:rsid w:val="00153C7E"/>
    <w:rsid w:val="001542E9"/>
    <w:rsid w:val="00156B25"/>
    <w:rsid w:val="00156E1A"/>
    <w:rsid w:val="00157894"/>
    <w:rsid w:val="00157B55"/>
    <w:rsid w:val="001642FA"/>
    <w:rsid w:val="001649EB"/>
    <w:rsid w:val="00164BAF"/>
    <w:rsid w:val="00164FA8"/>
    <w:rsid w:val="00165065"/>
    <w:rsid w:val="00165434"/>
    <w:rsid w:val="0016580B"/>
    <w:rsid w:val="00165CB3"/>
    <w:rsid w:val="00165F49"/>
    <w:rsid w:val="00166016"/>
    <w:rsid w:val="00166B88"/>
    <w:rsid w:val="0016770A"/>
    <w:rsid w:val="00170804"/>
    <w:rsid w:val="001708E9"/>
    <w:rsid w:val="0017340B"/>
    <w:rsid w:val="00173FB1"/>
    <w:rsid w:val="00176CB3"/>
    <w:rsid w:val="00176DFD"/>
    <w:rsid w:val="00177C73"/>
    <w:rsid w:val="001852C9"/>
    <w:rsid w:val="00187A0B"/>
    <w:rsid w:val="00190087"/>
    <w:rsid w:val="001907B4"/>
    <w:rsid w:val="001913C4"/>
    <w:rsid w:val="0019348F"/>
    <w:rsid w:val="00193A07"/>
    <w:rsid w:val="001940DD"/>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19EF"/>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0755"/>
    <w:rsid w:val="00242990"/>
    <w:rsid w:val="00243540"/>
    <w:rsid w:val="0024497B"/>
    <w:rsid w:val="0024515B"/>
    <w:rsid w:val="00246021"/>
    <w:rsid w:val="0024666E"/>
    <w:rsid w:val="00247F52"/>
    <w:rsid w:val="00250B25"/>
    <w:rsid w:val="00250BBE"/>
    <w:rsid w:val="002515C2"/>
    <w:rsid w:val="0025194F"/>
    <w:rsid w:val="002605AB"/>
    <w:rsid w:val="0026148A"/>
    <w:rsid w:val="00261544"/>
    <w:rsid w:val="00262696"/>
    <w:rsid w:val="00263D25"/>
    <w:rsid w:val="002643C3"/>
    <w:rsid w:val="00264A0C"/>
    <w:rsid w:val="00266EEB"/>
    <w:rsid w:val="00267697"/>
    <w:rsid w:val="00267EF4"/>
    <w:rsid w:val="0027060D"/>
    <w:rsid w:val="00270CB8"/>
    <w:rsid w:val="00272B08"/>
    <w:rsid w:val="00281BB8"/>
    <w:rsid w:val="00281E9E"/>
    <w:rsid w:val="00282405"/>
    <w:rsid w:val="00285170"/>
    <w:rsid w:val="00285361"/>
    <w:rsid w:val="0028582B"/>
    <w:rsid w:val="00287EB6"/>
    <w:rsid w:val="00292D60"/>
    <w:rsid w:val="00293B30"/>
    <w:rsid w:val="00294D34"/>
    <w:rsid w:val="00294E3B"/>
    <w:rsid w:val="00296193"/>
    <w:rsid w:val="00296397"/>
    <w:rsid w:val="00296C66"/>
    <w:rsid w:val="00296EBE"/>
    <w:rsid w:val="002974E3"/>
    <w:rsid w:val="00297E24"/>
    <w:rsid w:val="002A084B"/>
    <w:rsid w:val="002A1260"/>
    <w:rsid w:val="002A1589"/>
    <w:rsid w:val="002A1608"/>
    <w:rsid w:val="002A25DC"/>
    <w:rsid w:val="002A3AAB"/>
    <w:rsid w:val="002A461D"/>
    <w:rsid w:val="002A4CEA"/>
    <w:rsid w:val="002A5977"/>
    <w:rsid w:val="002A5A13"/>
    <w:rsid w:val="002A6B51"/>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8AA"/>
    <w:rsid w:val="002D79AC"/>
    <w:rsid w:val="002E039D"/>
    <w:rsid w:val="002E2B8B"/>
    <w:rsid w:val="002E484B"/>
    <w:rsid w:val="002E4D5A"/>
    <w:rsid w:val="002E6326"/>
    <w:rsid w:val="002F0B57"/>
    <w:rsid w:val="002F30E0"/>
    <w:rsid w:val="002F35E4"/>
    <w:rsid w:val="002F364D"/>
    <w:rsid w:val="002F3730"/>
    <w:rsid w:val="002F38E1"/>
    <w:rsid w:val="002F7AF6"/>
    <w:rsid w:val="00300E63"/>
    <w:rsid w:val="00302F5F"/>
    <w:rsid w:val="0030441D"/>
    <w:rsid w:val="00306063"/>
    <w:rsid w:val="00306AB7"/>
    <w:rsid w:val="00313B85"/>
    <w:rsid w:val="00317988"/>
    <w:rsid w:val="00321359"/>
    <w:rsid w:val="003221B4"/>
    <w:rsid w:val="0032258D"/>
    <w:rsid w:val="00322E62"/>
    <w:rsid w:val="00324D13"/>
    <w:rsid w:val="00324EDD"/>
    <w:rsid w:val="003331E4"/>
    <w:rsid w:val="00336C64"/>
    <w:rsid w:val="00337162"/>
    <w:rsid w:val="00337601"/>
    <w:rsid w:val="0034194F"/>
    <w:rsid w:val="00344605"/>
    <w:rsid w:val="00345530"/>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77723"/>
    <w:rsid w:val="0038092A"/>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A14"/>
    <w:rsid w:val="003960F2"/>
    <w:rsid w:val="003974EB"/>
    <w:rsid w:val="00397CC5"/>
    <w:rsid w:val="003A11D1"/>
    <w:rsid w:val="003A1582"/>
    <w:rsid w:val="003A3D9C"/>
    <w:rsid w:val="003A4077"/>
    <w:rsid w:val="003A4AA7"/>
    <w:rsid w:val="003B09AD"/>
    <w:rsid w:val="003B1F18"/>
    <w:rsid w:val="003B4013"/>
    <w:rsid w:val="003B5BF0"/>
    <w:rsid w:val="003B60BF"/>
    <w:rsid w:val="003B6BE3"/>
    <w:rsid w:val="003C010C"/>
    <w:rsid w:val="003C0A6C"/>
    <w:rsid w:val="003C14F8"/>
    <w:rsid w:val="003C5A43"/>
    <w:rsid w:val="003D0519"/>
    <w:rsid w:val="003D0FF6"/>
    <w:rsid w:val="003D262C"/>
    <w:rsid w:val="003D39C6"/>
    <w:rsid w:val="003D67A6"/>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7F1"/>
    <w:rsid w:val="00400E72"/>
    <w:rsid w:val="00401400"/>
    <w:rsid w:val="00404869"/>
    <w:rsid w:val="00405884"/>
    <w:rsid w:val="00407163"/>
    <w:rsid w:val="00407D39"/>
    <w:rsid w:val="004123D1"/>
    <w:rsid w:val="00412663"/>
    <w:rsid w:val="0041477A"/>
    <w:rsid w:val="00415D1B"/>
    <w:rsid w:val="004164F4"/>
    <w:rsid w:val="004167A3"/>
    <w:rsid w:val="00420BCC"/>
    <w:rsid w:val="00420DD6"/>
    <w:rsid w:val="00432DAA"/>
    <w:rsid w:val="00434305"/>
    <w:rsid w:val="00435DF7"/>
    <w:rsid w:val="0043741A"/>
    <w:rsid w:val="0044083F"/>
    <w:rsid w:val="00441AE7"/>
    <w:rsid w:val="004446BD"/>
    <w:rsid w:val="00445574"/>
    <w:rsid w:val="004467FB"/>
    <w:rsid w:val="00447EE9"/>
    <w:rsid w:val="00452D6B"/>
    <w:rsid w:val="00454484"/>
    <w:rsid w:val="0045517B"/>
    <w:rsid w:val="00456789"/>
    <w:rsid w:val="00463B77"/>
    <w:rsid w:val="00463C7B"/>
    <w:rsid w:val="004644A6"/>
    <w:rsid w:val="004659BD"/>
    <w:rsid w:val="00465AEF"/>
    <w:rsid w:val="00470775"/>
    <w:rsid w:val="004746B1"/>
    <w:rsid w:val="0047583F"/>
    <w:rsid w:val="00475DE8"/>
    <w:rsid w:val="00481C44"/>
    <w:rsid w:val="00484936"/>
    <w:rsid w:val="00485C89"/>
    <w:rsid w:val="00485D6A"/>
    <w:rsid w:val="00486BE3"/>
    <w:rsid w:val="004905E4"/>
    <w:rsid w:val="00490A89"/>
    <w:rsid w:val="00490AB4"/>
    <w:rsid w:val="00492F02"/>
    <w:rsid w:val="004939AE"/>
    <w:rsid w:val="004A12DF"/>
    <w:rsid w:val="004A1BA8"/>
    <w:rsid w:val="004A4B57"/>
    <w:rsid w:val="004A5909"/>
    <w:rsid w:val="004A63FA"/>
    <w:rsid w:val="004A6A3D"/>
    <w:rsid w:val="004B0272"/>
    <w:rsid w:val="004B2701"/>
    <w:rsid w:val="004B2E1B"/>
    <w:rsid w:val="004B3AA8"/>
    <w:rsid w:val="004B3E93"/>
    <w:rsid w:val="004B4503"/>
    <w:rsid w:val="004C1FBC"/>
    <w:rsid w:val="004C25A2"/>
    <w:rsid w:val="004C3F1D"/>
    <w:rsid w:val="004C458D"/>
    <w:rsid w:val="004C7556"/>
    <w:rsid w:val="004C7DFA"/>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5C3E"/>
    <w:rsid w:val="004E67C0"/>
    <w:rsid w:val="004E7B24"/>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295F"/>
    <w:rsid w:val="00523F95"/>
    <w:rsid w:val="00524D65"/>
    <w:rsid w:val="00525B16"/>
    <w:rsid w:val="00533D04"/>
    <w:rsid w:val="00534804"/>
    <w:rsid w:val="00534BDF"/>
    <w:rsid w:val="005354EA"/>
    <w:rsid w:val="0053585F"/>
    <w:rsid w:val="00535EC4"/>
    <w:rsid w:val="00535ED9"/>
    <w:rsid w:val="0053692B"/>
    <w:rsid w:val="00536B77"/>
    <w:rsid w:val="00537150"/>
    <w:rsid w:val="00541853"/>
    <w:rsid w:val="00543BDA"/>
    <w:rsid w:val="005441CC"/>
    <w:rsid w:val="005479DA"/>
    <w:rsid w:val="00547BCC"/>
    <w:rsid w:val="0055013B"/>
    <w:rsid w:val="00551F6F"/>
    <w:rsid w:val="00553B7E"/>
    <w:rsid w:val="00555044"/>
    <w:rsid w:val="0055520A"/>
    <w:rsid w:val="00561475"/>
    <w:rsid w:val="00562308"/>
    <w:rsid w:val="0056487B"/>
    <w:rsid w:val="00564FB9"/>
    <w:rsid w:val="005652A8"/>
    <w:rsid w:val="00573D9E"/>
    <w:rsid w:val="005801E3"/>
    <w:rsid w:val="00581802"/>
    <w:rsid w:val="005836A8"/>
    <w:rsid w:val="0058409C"/>
    <w:rsid w:val="00584262"/>
    <w:rsid w:val="00586630"/>
    <w:rsid w:val="00587ADD"/>
    <w:rsid w:val="00593207"/>
    <w:rsid w:val="00593A49"/>
    <w:rsid w:val="00596160"/>
    <w:rsid w:val="005966E2"/>
    <w:rsid w:val="00597007"/>
    <w:rsid w:val="005971D0"/>
    <w:rsid w:val="005A0966"/>
    <w:rsid w:val="005A11B7"/>
    <w:rsid w:val="005A260B"/>
    <w:rsid w:val="005A4A1B"/>
    <w:rsid w:val="005A658A"/>
    <w:rsid w:val="005A7830"/>
    <w:rsid w:val="005A7FCE"/>
    <w:rsid w:val="005B0078"/>
    <w:rsid w:val="005B0F3F"/>
    <w:rsid w:val="005B191C"/>
    <w:rsid w:val="005B40BE"/>
    <w:rsid w:val="005B4903"/>
    <w:rsid w:val="005B51CE"/>
    <w:rsid w:val="005B5885"/>
    <w:rsid w:val="005B5CD7"/>
    <w:rsid w:val="005B6CF6"/>
    <w:rsid w:val="005B7422"/>
    <w:rsid w:val="005C29B8"/>
    <w:rsid w:val="005C3DB8"/>
    <w:rsid w:val="005C5F21"/>
    <w:rsid w:val="005C7156"/>
    <w:rsid w:val="005D0C75"/>
    <w:rsid w:val="005D22F2"/>
    <w:rsid w:val="005D345B"/>
    <w:rsid w:val="005D4171"/>
    <w:rsid w:val="005D6A95"/>
    <w:rsid w:val="005D6B2C"/>
    <w:rsid w:val="005D6D9C"/>
    <w:rsid w:val="005E0AFB"/>
    <w:rsid w:val="005E2335"/>
    <w:rsid w:val="005E2A43"/>
    <w:rsid w:val="005E34CA"/>
    <w:rsid w:val="005E3535"/>
    <w:rsid w:val="005E3C18"/>
    <w:rsid w:val="005E4250"/>
    <w:rsid w:val="005E6812"/>
    <w:rsid w:val="005E74B0"/>
    <w:rsid w:val="005E7881"/>
    <w:rsid w:val="005E78E0"/>
    <w:rsid w:val="005F0D9C"/>
    <w:rsid w:val="005F284E"/>
    <w:rsid w:val="005F542C"/>
    <w:rsid w:val="006015CE"/>
    <w:rsid w:val="00604784"/>
    <w:rsid w:val="00606419"/>
    <w:rsid w:val="00607886"/>
    <w:rsid w:val="00607D29"/>
    <w:rsid w:val="00612952"/>
    <w:rsid w:val="00614CC1"/>
    <w:rsid w:val="00615A9D"/>
    <w:rsid w:val="00617387"/>
    <w:rsid w:val="006205D6"/>
    <w:rsid w:val="006222C4"/>
    <w:rsid w:val="00624E02"/>
    <w:rsid w:val="006252D8"/>
    <w:rsid w:val="006259BC"/>
    <w:rsid w:val="0062636B"/>
    <w:rsid w:val="00632182"/>
    <w:rsid w:val="00632AE0"/>
    <w:rsid w:val="00633C17"/>
    <w:rsid w:val="006348AE"/>
    <w:rsid w:val="00634B64"/>
    <w:rsid w:val="00634D9E"/>
    <w:rsid w:val="00636E3E"/>
    <w:rsid w:val="006379F7"/>
    <w:rsid w:val="00637E4D"/>
    <w:rsid w:val="00640620"/>
    <w:rsid w:val="006412ED"/>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67C05"/>
    <w:rsid w:val="00672060"/>
    <w:rsid w:val="00672BFD"/>
    <w:rsid w:val="006770F4"/>
    <w:rsid w:val="00677A84"/>
    <w:rsid w:val="0068026D"/>
    <w:rsid w:val="00680A27"/>
    <w:rsid w:val="00680B6D"/>
    <w:rsid w:val="006816A4"/>
    <w:rsid w:val="006819B8"/>
    <w:rsid w:val="006840A6"/>
    <w:rsid w:val="006850CD"/>
    <w:rsid w:val="00685AAB"/>
    <w:rsid w:val="00690840"/>
    <w:rsid w:val="00693962"/>
    <w:rsid w:val="006A07AA"/>
    <w:rsid w:val="006A25E5"/>
    <w:rsid w:val="006A2B46"/>
    <w:rsid w:val="006A336D"/>
    <w:rsid w:val="006A37B9"/>
    <w:rsid w:val="006B2672"/>
    <w:rsid w:val="006B54BF"/>
    <w:rsid w:val="006B5F44"/>
    <w:rsid w:val="006B5F90"/>
    <w:rsid w:val="006B62E4"/>
    <w:rsid w:val="006C1BBA"/>
    <w:rsid w:val="006C2079"/>
    <w:rsid w:val="006C3C3B"/>
    <w:rsid w:val="006C5A62"/>
    <w:rsid w:val="006C5D68"/>
    <w:rsid w:val="006C6976"/>
    <w:rsid w:val="006C6DD0"/>
    <w:rsid w:val="006D04EA"/>
    <w:rsid w:val="006D16C4"/>
    <w:rsid w:val="006D2151"/>
    <w:rsid w:val="006D3E96"/>
    <w:rsid w:val="006D4515"/>
    <w:rsid w:val="006D4BB1"/>
    <w:rsid w:val="006D6593"/>
    <w:rsid w:val="006F03A8"/>
    <w:rsid w:val="006F2ACA"/>
    <w:rsid w:val="006F2ADC"/>
    <w:rsid w:val="006F2BFE"/>
    <w:rsid w:val="006F31E9"/>
    <w:rsid w:val="006F6284"/>
    <w:rsid w:val="007002C5"/>
    <w:rsid w:val="00704387"/>
    <w:rsid w:val="00706058"/>
    <w:rsid w:val="00707669"/>
    <w:rsid w:val="00711CBA"/>
    <w:rsid w:val="00711FB5"/>
    <w:rsid w:val="00712A01"/>
    <w:rsid w:val="00714F58"/>
    <w:rsid w:val="007175F3"/>
    <w:rsid w:val="00720034"/>
    <w:rsid w:val="00722FBF"/>
    <w:rsid w:val="00722FC2"/>
    <w:rsid w:val="00724E1B"/>
    <w:rsid w:val="00725949"/>
    <w:rsid w:val="00725C7B"/>
    <w:rsid w:val="00727FA2"/>
    <w:rsid w:val="00730902"/>
    <w:rsid w:val="007322D9"/>
    <w:rsid w:val="00732BC0"/>
    <w:rsid w:val="00732E0E"/>
    <w:rsid w:val="0073720F"/>
    <w:rsid w:val="00737796"/>
    <w:rsid w:val="007379AB"/>
    <w:rsid w:val="0074165C"/>
    <w:rsid w:val="00742C35"/>
    <w:rsid w:val="0074317E"/>
    <w:rsid w:val="007432CA"/>
    <w:rsid w:val="007439EB"/>
    <w:rsid w:val="007439FF"/>
    <w:rsid w:val="00743CB4"/>
    <w:rsid w:val="00743F0A"/>
    <w:rsid w:val="007444E8"/>
    <w:rsid w:val="00745440"/>
    <w:rsid w:val="0074548E"/>
    <w:rsid w:val="00745773"/>
    <w:rsid w:val="00746800"/>
    <w:rsid w:val="007501A8"/>
    <w:rsid w:val="00750D61"/>
    <w:rsid w:val="00750EE1"/>
    <w:rsid w:val="00752B4D"/>
    <w:rsid w:val="00755402"/>
    <w:rsid w:val="007561BD"/>
    <w:rsid w:val="00756B26"/>
    <w:rsid w:val="00756EDF"/>
    <w:rsid w:val="007600E3"/>
    <w:rsid w:val="00763E05"/>
    <w:rsid w:val="00765C43"/>
    <w:rsid w:val="00765EFB"/>
    <w:rsid w:val="007671CA"/>
    <w:rsid w:val="0076791C"/>
    <w:rsid w:val="00767C61"/>
    <w:rsid w:val="0077008A"/>
    <w:rsid w:val="00773C1F"/>
    <w:rsid w:val="00774DA4"/>
    <w:rsid w:val="00776599"/>
    <w:rsid w:val="0078114B"/>
    <w:rsid w:val="00781DD2"/>
    <w:rsid w:val="00783ECF"/>
    <w:rsid w:val="0078413A"/>
    <w:rsid w:val="00785EED"/>
    <w:rsid w:val="0078618E"/>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6F57"/>
    <w:rsid w:val="007B7453"/>
    <w:rsid w:val="007C2D89"/>
    <w:rsid w:val="007C3097"/>
    <w:rsid w:val="007C3F6E"/>
    <w:rsid w:val="007C4593"/>
    <w:rsid w:val="007C5309"/>
    <w:rsid w:val="007C6069"/>
    <w:rsid w:val="007D06C4"/>
    <w:rsid w:val="007D0980"/>
    <w:rsid w:val="007D1352"/>
    <w:rsid w:val="007D2508"/>
    <w:rsid w:val="007D2B08"/>
    <w:rsid w:val="007D346A"/>
    <w:rsid w:val="007D61D1"/>
    <w:rsid w:val="007D6518"/>
    <w:rsid w:val="007D76BD"/>
    <w:rsid w:val="007E0BF1"/>
    <w:rsid w:val="007E33A6"/>
    <w:rsid w:val="007E6100"/>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1B2"/>
    <w:rsid w:val="0083348C"/>
    <w:rsid w:val="00835340"/>
    <w:rsid w:val="008373D3"/>
    <w:rsid w:val="00840617"/>
    <w:rsid w:val="00840F84"/>
    <w:rsid w:val="00842A47"/>
    <w:rsid w:val="00843C13"/>
    <w:rsid w:val="00843DEF"/>
    <w:rsid w:val="008454F8"/>
    <w:rsid w:val="0085136A"/>
    <w:rsid w:val="0085173A"/>
    <w:rsid w:val="008603CE"/>
    <w:rsid w:val="008620FC"/>
    <w:rsid w:val="008627A5"/>
    <w:rsid w:val="00862DA3"/>
    <w:rsid w:val="00863E05"/>
    <w:rsid w:val="00865ACA"/>
    <w:rsid w:val="00865D28"/>
    <w:rsid w:val="00865F85"/>
    <w:rsid w:val="00867C10"/>
    <w:rsid w:val="00870439"/>
    <w:rsid w:val="00870DA1"/>
    <w:rsid w:val="008730B7"/>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0D30"/>
    <w:rsid w:val="008B166D"/>
    <w:rsid w:val="008B17F4"/>
    <w:rsid w:val="008B3615"/>
    <w:rsid w:val="008B4AC4"/>
    <w:rsid w:val="008B50C8"/>
    <w:rsid w:val="008B5281"/>
    <w:rsid w:val="008B7E05"/>
    <w:rsid w:val="008C1797"/>
    <w:rsid w:val="008C219C"/>
    <w:rsid w:val="008C3950"/>
    <w:rsid w:val="008C475E"/>
    <w:rsid w:val="008C619A"/>
    <w:rsid w:val="008D0869"/>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E7102"/>
    <w:rsid w:val="008F0CDC"/>
    <w:rsid w:val="008F17A3"/>
    <w:rsid w:val="008F1ED3"/>
    <w:rsid w:val="008F47B4"/>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17751"/>
    <w:rsid w:val="009219DF"/>
    <w:rsid w:val="009245AE"/>
    <w:rsid w:val="009245F5"/>
    <w:rsid w:val="009249EC"/>
    <w:rsid w:val="009273B3"/>
    <w:rsid w:val="009302C4"/>
    <w:rsid w:val="009305B5"/>
    <w:rsid w:val="0093489F"/>
    <w:rsid w:val="009378DD"/>
    <w:rsid w:val="009429D5"/>
    <w:rsid w:val="00942BF1"/>
    <w:rsid w:val="00945180"/>
    <w:rsid w:val="00945428"/>
    <w:rsid w:val="0094607B"/>
    <w:rsid w:val="00952403"/>
    <w:rsid w:val="00953604"/>
    <w:rsid w:val="0095496B"/>
    <w:rsid w:val="009603F3"/>
    <w:rsid w:val="00960F1E"/>
    <w:rsid w:val="009610DC"/>
    <w:rsid w:val="00961490"/>
    <w:rsid w:val="0096381A"/>
    <w:rsid w:val="00965567"/>
    <w:rsid w:val="00965E04"/>
    <w:rsid w:val="009674AD"/>
    <w:rsid w:val="00970CDC"/>
    <w:rsid w:val="00973A4F"/>
    <w:rsid w:val="00975727"/>
    <w:rsid w:val="00977010"/>
    <w:rsid w:val="00977D02"/>
    <w:rsid w:val="00977FF9"/>
    <w:rsid w:val="009809BB"/>
    <w:rsid w:val="009825D6"/>
    <w:rsid w:val="0098364B"/>
    <w:rsid w:val="0098497D"/>
    <w:rsid w:val="009864E8"/>
    <w:rsid w:val="00990888"/>
    <w:rsid w:val="009908A3"/>
    <w:rsid w:val="009911AF"/>
    <w:rsid w:val="0099174F"/>
    <w:rsid w:val="00991875"/>
    <w:rsid w:val="00991F92"/>
    <w:rsid w:val="00992985"/>
    <w:rsid w:val="00993889"/>
    <w:rsid w:val="0099551B"/>
    <w:rsid w:val="0099612B"/>
    <w:rsid w:val="00996BD2"/>
    <w:rsid w:val="00997BF1"/>
    <w:rsid w:val="009A089C"/>
    <w:rsid w:val="009A118E"/>
    <w:rsid w:val="009A21CD"/>
    <w:rsid w:val="009A278C"/>
    <w:rsid w:val="009A2BC2"/>
    <w:rsid w:val="009A2F67"/>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3197"/>
    <w:rsid w:val="009D47FA"/>
    <w:rsid w:val="009D4C5B"/>
    <w:rsid w:val="009D50D2"/>
    <w:rsid w:val="009D6BCA"/>
    <w:rsid w:val="009E0F62"/>
    <w:rsid w:val="009E4A58"/>
    <w:rsid w:val="009E5A2D"/>
    <w:rsid w:val="009E5AB2"/>
    <w:rsid w:val="009E6219"/>
    <w:rsid w:val="009F03B3"/>
    <w:rsid w:val="009F2745"/>
    <w:rsid w:val="00A0096C"/>
    <w:rsid w:val="00A01757"/>
    <w:rsid w:val="00A028C0"/>
    <w:rsid w:val="00A02BAE"/>
    <w:rsid w:val="00A06A6B"/>
    <w:rsid w:val="00A07E47"/>
    <w:rsid w:val="00A129D0"/>
    <w:rsid w:val="00A12C33"/>
    <w:rsid w:val="00A138BA"/>
    <w:rsid w:val="00A14C8E"/>
    <w:rsid w:val="00A153D9"/>
    <w:rsid w:val="00A15F09"/>
    <w:rsid w:val="00A169B6"/>
    <w:rsid w:val="00A17C28"/>
    <w:rsid w:val="00A2271D"/>
    <w:rsid w:val="00A237D5"/>
    <w:rsid w:val="00A26647"/>
    <w:rsid w:val="00A30EFC"/>
    <w:rsid w:val="00A31458"/>
    <w:rsid w:val="00A31984"/>
    <w:rsid w:val="00A32D73"/>
    <w:rsid w:val="00A3367B"/>
    <w:rsid w:val="00A33C67"/>
    <w:rsid w:val="00A3597D"/>
    <w:rsid w:val="00A35FBC"/>
    <w:rsid w:val="00A36DD1"/>
    <w:rsid w:val="00A4006C"/>
    <w:rsid w:val="00A40091"/>
    <w:rsid w:val="00A4030F"/>
    <w:rsid w:val="00A41C79"/>
    <w:rsid w:val="00A41CB5"/>
    <w:rsid w:val="00A42CDF"/>
    <w:rsid w:val="00A4452E"/>
    <w:rsid w:val="00A4472C"/>
    <w:rsid w:val="00A44E69"/>
    <w:rsid w:val="00A461F5"/>
    <w:rsid w:val="00A4661E"/>
    <w:rsid w:val="00A55BD6"/>
    <w:rsid w:val="00A55D50"/>
    <w:rsid w:val="00A57142"/>
    <w:rsid w:val="00A619FF"/>
    <w:rsid w:val="00A648CD"/>
    <w:rsid w:val="00A6537A"/>
    <w:rsid w:val="00A67866"/>
    <w:rsid w:val="00A70B07"/>
    <w:rsid w:val="00A723F8"/>
    <w:rsid w:val="00A77CCB"/>
    <w:rsid w:val="00A83D8D"/>
    <w:rsid w:val="00A8446B"/>
    <w:rsid w:val="00A8473F"/>
    <w:rsid w:val="00A85165"/>
    <w:rsid w:val="00A862D6"/>
    <w:rsid w:val="00A8715E"/>
    <w:rsid w:val="00A9028F"/>
    <w:rsid w:val="00A90950"/>
    <w:rsid w:val="00A9295B"/>
    <w:rsid w:val="00A93B09"/>
    <w:rsid w:val="00A952D7"/>
    <w:rsid w:val="00A963F7"/>
    <w:rsid w:val="00A96AD8"/>
    <w:rsid w:val="00A97D51"/>
    <w:rsid w:val="00AA052C"/>
    <w:rsid w:val="00AA1E45"/>
    <w:rsid w:val="00AA4286"/>
    <w:rsid w:val="00AA456B"/>
    <w:rsid w:val="00AA57F5"/>
    <w:rsid w:val="00AA672E"/>
    <w:rsid w:val="00AA6EC9"/>
    <w:rsid w:val="00AB6157"/>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020"/>
    <w:rsid w:val="00AE5EB4"/>
    <w:rsid w:val="00AF0C18"/>
    <w:rsid w:val="00AF452C"/>
    <w:rsid w:val="00AF47C5"/>
    <w:rsid w:val="00AF5398"/>
    <w:rsid w:val="00B049AF"/>
    <w:rsid w:val="00B07242"/>
    <w:rsid w:val="00B10534"/>
    <w:rsid w:val="00B113DB"/>
    <w:rsid w:val="00B11D8A"/>
    <w:rsid w:val="00B12981"/>
    <w:rsid w:val="00B13E07"/>
    <w:rsid w:val="00B147DD"/>
    <w:rsid w:val="00B156FD"/>
    <w:rsid w:val="00B171D4"/>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1EB7"/>
    <w:rsid w:val="00B62B58"/>
    <w:rsid w:val="00B65149"/>
    <w:rsid w:val="00B66567"/>
    <w:rsid w:val="00B66F52"/>
    <w:rsid w:val="00B66FE5"/>
    <w:rsid w:val="00B72880"/>
    <w:rsid w:val="00B758BF"/>
    <w:rsid w:val="00B77EC8"/>
    <w:rsid w:val="00B827A6"/>
    <w:rsid w:val="00B831CE"/>
    <w:rsid w:val="00B832FA"/>
    <w:rsid w:val="00B86677"/>
    <w:rsid w:val="00B87131"/>
    <w:rsid w:val="00B905EF"/>
    <w:rsid w:val="00B92F64"/>
    <w:rsid w:val="00B939B1"/>
    <w:rsid w:val="00B96D40"/>
    <w:rsid w:val="00B97386"/>
    <w:rsid w:val="00B97B6A"/>
    <w:rsid w:val="00BA263B"/>
    <w:rsid w:val="00BA42B2"/>
    <w:rsid w:val="00BA58D4"/>
    <w:rsid w:val="00BA5B9E"/>
    <w:rsid w:val="00BA7C9A"/>
    <w:rsid w:val="00BB5F8F"/>
    <w:rsid w:val="00BB657A"/>
    <w:rsid w:val="00BC0A1D"/>
    <w:rsid w:val="00BC1A4E"/>
    <w:rsid w:val="00BC5DC7"/>
    <w:rsid w:val="00BC6B8B"/>
    <w:rsid w:val="00BC73D8"/>
    <w:rsid w:val="00BD412C"/>
    <w:rsid w:val="00BD52D7"/>
    <w:rsid w:val="00BD57B1"/>
    <w:rsid w:val="00BD5AD2"/>
    <w:rsid w:val="00BE22F3"/>
    <w:rsid w:val="00BE5B52"/>
    <w:rsid w:val="00BE77AB"/>
    <w:rsid w:val="00BE7B8D"/>
    <w:rsid w:val="00BF0993"/>
    <w:rsid w:val="00BF10A9"/>
    <w:rsid w:val="00BF1703"/>
    <w:rsid w:val="00BF231C"/>
    <w:rsid w:val="00BF49B8"/>
    <w:rsid w:val="00BF51E5"/>
    <w:rsid w:val="00BF74A6"/>
    <w:rsid w:val="00C013AD"/>
    <w:rsid w:val="00C04904"/>
    <w:rsid w:val="00C056B3"/>
    <w:rsid w:val="00C103E5"/>
    <w:rsid w:val="00C12B1D"/>
    <w:rsid w:val="00C13319"/>
    <w:rsid w:val="00C13EE9"/>
    <w:rsid w:val="00C21540"/>
    <w:rsid w:val="00C21906"/>
    <w:rsid w:val="00C21BFA"/>
    <w:rsid w:val="00C24C8D"/>
    <w:rsid w:val="00C25FE2"/>
    <w:rsid w:val="00C26B53"/>
    <w:rsid w:val="00C279B2"/>
    <w:rsid w:val="00C30DE1"/>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678C5"/>
    <w:rsid w:val="00C7024E"/>
    <w:rsid w:val="00C71372"/>
    <w:rsid w:val="00C72410"/>
    <w:rsid w:val="00C7287F"/>
    <w:rsid w:val="00C80CB8"/>
    <w:rsid w:val="00C818A6"/>
    <w:rsid w:val="00C819F8"/>
    <w:rsid w:val="00C8248C"/>
    <w:rsid w:val="00C845F2"/>
    <w:rsid w:val="00C84E33"/>
    <w:rsid w:val="00C86D6F"/>
    <w:rsid w:val="00C905FC"/>
    <w:rsid w:val="00C92D03"/>
    <w:rsid w:val="00C9319C"/>
    <w:rsid w:val="00C9435D"/>
    <w:rsid w:val="00C94DF2"/>
    <w:rsid w:val="00C96741"/>
    <w:rsid w:val="00C970F0"/>
    <w:rsid w:val="00CA2D1B"/>
    <w:rsid w:val="00CA375D"/>
    <w:rsid w:val="00CA662A"/>
    <w:rsid w:val="00CA7AFD"/>
    <w:rsid w:val="00CA7C3C"/>
    <w:rsid w:val="00CB0189"/>
    <w:rsid w:val="00CB0BA2"/>
    <w:rsid w:val="00CB1A42"/>
    <w:rsid w:val="00CB1B0C"/>
    <w:rsid w:val="00CB2C0B"/>
    <w:rsid w:val="00CB3B78"/>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54B"/>
    <w:rsid w:val="00CD7AE9"/>
    <w:rsid w:val="00CE0C4F"/>
    <w:rsid w:val="00CE30EA"/>
    <w:rsid w:val="00CE4B33"/>
    <w:rsid w:val="00CE686C"/>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6B5"/>
    <w:rsid w:val="00D20737"/>
    <w:rsid w:val="00D21E81"/>
    <w:rsid w:val="00D223DE"/>
    <w:rsid w:val="00D240D5"/>
    <w:rsid w:val="00D25E37"/>
    <w:rsid w:val="00D2661A"/>
    <w:rsid w:val="00D27582"/>
    <w:rsid w:val="00D27EC4"/>
    <w:rsid w:val="00D32719"/>
    <w:rsid w:val="00D33333"/>
    <w:rsid w:val="00D352A2"/>
    <w:rsid w:val="00D414F7"/>
    <w:rsid w:val="00D4162B"/>
    <w:rsid w:val="00D4514F"/>
    <w:rsid w:val="00D451E2"/>
    <w:rsid w:val="00D45E89"/>
    <w:rsid w:val="00D45E8D"/>
    <w:rsid w:val="00D466AE"/>
    <w:rsid w:val="00D468BB"/>
    <w:rsid w:val="00D4734F"/>
    <w:rsid w:val="00D51BF3"/>
    <w:rsid w:val="00D60EE3"/>
    <w:rsid w:val="00D64E4D"/>
    <w:rsid w:val="00D66846"/>
    <w:rsid w:val="00D675FB"/>
    <w:rsid w:val="00D71F25"/>
    <w:rsid w:val="00D72A9C"/>
    <w:rsid w:val="00D77031"/>
    <w:rsid w:val="00D84941"/>
    <w:rsid w:val="00D84FA1"/>
    <w:rsid w:val="00D85161"/>
    <w:rsid w:val="00D851F0"/>
    <w:rsid w:val="00D86DB7"/>
    <w:rsid w:val="00D87BF5"/>
    <w:rsid w:val="00D90721"/>
    <w:rsid w:val="00D91BA9"/>
    <w:rsid w:val="00D926D0"/>
    <w:rsid w:val="00D93030"/>
    <w:rsid w:val="00D9469D"/>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12DD"/>
    <w:rsid w:val="00DC1408"/>
    <w:rsid w:val="00DC1EDB"/>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0F5E"/>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5A62"/>
    <w:rsid w:val="00E664CC"/>
    <w:rsid w:val="00E67C0D"/>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06C4"/>
    <w:rsid w:val="00E9311F"/>
    <w:rsid w:val="00E934D1"/>
    <w:rsid w:val="00E94AF0"/>
    <w:rsid w:val="00E95D13"/>
    <w:rsid w:val="00E95DD3"/>
    <w:rsid w:val="00E969D5"/>
    <w:rsid w:val="00EA041D"/>
    <w:rsid w:val="00EA1FAC"/>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D7372"/>
    <w:rsid w:val="00EE0350"/>
    <w:rsid w:val="00EE0719"/>
    <w:rsid w:val="00EE0E80"/>
    <w:rsid w:val="00EE613F"/>
    <w:rsid w:val="00EE7295"/>
    <w:rsid w:val="00EE7869"/>
    <w:rsid w:val="00EF04A2"/>
    <w:rsid w:val="00EF054A"/>
    <w:rsid w:val="00EF3235"/>
    <w:rsid w:val="00EF7E72"/>
    <w:rsid w:val="00F06D37"/>
    <w:rsid w:val="00F07B9D"/>
    <w:rsid w:val="00F11586"/>
    <w:rsid w:val="00F1183B"/>
    <w:rsid w:val="00F11C9F"/>
    <w:rsid w:val="00F12263"/>
    <w:rsid w:val="00F12B9D"/>
    <w:rsid w:val="00F1409D"/>
    <w:rsid w:val="00F14214"/>
    <w:rsid w:val="00F157A9"/>
    <w:rsid w:val="00F16433"/>
    <w:rsid w:val="00F16F00"/>
    <w:rsid w:val="00F21737"/>
    <w:rsid w:val="00F25BB6"/>
    <w:rsid w:val="00F26B7E"/>
    <w:rsid w:val="00F27A3B"/>
    <w:rsid w:val="00F32780"/>
    <w:rsid w:val="00F33817"/>
    <w:rsid w:val="00F420D5"/>
    <w:rsid w:val="00F451EA"/>
    <w:rsid w:val="00F45447"/>
    <w:rsid w:val="00F456C6"/>
    <w:rsid w:val="00F4577B"/>
    <w:rsid w:val="00F46496"/>
    <w:rsid w:val="00F474D0"/>
    <w:rsid w:val="00F47639"/>
    <w:rsid w:val="00F50179"/>
    <w:rsid w:val="00F50BFC"/>
    <w:rsid w:val="00F515EE"/>
    <w:rsid w:val="00F524E3"/>
    <w:rsid w:val="00F56511"/>
    <w:rsid w:val="00F6194E"/>
    <w:rsid w:val="00F623AC"/>
    <w:rsid w:val="00F6412A"/>
    <w:rsid w:val="00F65893"/>
    <w:rsid w:val="00F66A4A"/>
    <w:rsid w:val="00F71E22"/>
    <w:rsid w:val="00F72142"/>
    <w:rsid w:val="00F72AE7"/>
    <w:rsid w:val="00F82BF7"/>
    <w:rsid w:val="00F833BA"/>
    <w:rsid w:val="00F84FD0"/>
    <w:rsid w:val="00F859A8"/>
    <w:rsid w:val="00F86D87"/>
    <w:rsid w:val="00F90B31"/>
    <w:rsid w:val="00F90DB1"/>
    <w:rsid w:val="00F9108B"/>
    <w:rsid w:val="00F91349"/>
    <w:rsid w:val="00F93A8A"/>
    <w:rsid w:val="00F95248"/>
    <w:rsid w:val="00F956A9"/>
    <w:rsid w:val="00F963ED"/>
    <w:rsid w:val="00F966CF"/>
    <w:rsid w:val="00F96CAE"/>
    <w:rsid w:val="00F97C99"/>
    <w:rsid w:val="00FA662D"/>
    <w:rsid w:val="00FA73B1"/>
    <w:rsid w:val="00FA7F44"/>
    <w:rsid w:val="00FB0CB9"/>
    <w:rsid w:val="00FB1AA1"/>
    <w:rsid w:val="00FB231D"/>
    <w:rsid w:val="00FB45F1"/>
    <w:rsid w:val="00FB4A72"/>
    <w:rsid w:val="00FB54E8"/>
    <w:rsid w:val="00FB7054"/>
    <w:rsid w:val="00FC17B7"/>
    <w:rsid w:val="00FC25AC"/>
    <w:rsid w:val="00FC2CB7"/>
    <w:rsid w:val="00FC4090"/>
    <w:rsid w:val="00FC55B4"/>
    <w:rsid w:val="00FD00E6"/>
    <w:rsid w:val="00FD09A1"/>
    <w:rsid w:val="00FD0B64"/>
    <w:rsid w:val="00FD2A7C"/>
    <w:rsid w:val="00FD59EB"/>
    <w:rsid w:val="00FD7299"/>
    <w:rsid w:val="00FE1FBE"/>
    <w:rsid w:val="00FE3901"/>
    <w:rsid w:val="00FE39D3"/>
    <w:rsid w:val="00FE4BCE"/>
    <w:rsid w:val="00FE54AE"/>
    <w:rsid w:val="00FE576A"/>
    <w:rsid w:val="00FE70EF"/>
    <w:rsid w:val="00FE7E79"/>
    <w:rsid w:val="00FF0F1E"/>
    <w:rsid w:val="00FF3E7D"/>
    <w:rsid w:val="00FF5B99"/>
    <w:rsid w:val="00FF682B"/>
    <w:rsid w:val="00FF730C"/>
    <w:rsid w:val="00FF73F4"/>
    <w:rsid w:val="00FF7CE4"/>
    <w:rsid w:val="00FF7E39"/>
    <w:rsid w:val="06837E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8"/>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9"/>
    <w:qFormat/>
    <w:uiPriority w:val="0"/>
    <w:pPr>
      <w:keepNext/>
      <w:keepLines/>
      <w:spacing w:before="260" w:after="260" w:line="416" w:lineRule="auto"/>
      <w:outlineLvl w:val="2"/>
    </w:pPr>
    <w:rPr>
      <w:b/>
      <w:bCs/>
      <w:sz w:val="32"/>
      <w:szCs w:val="32"/>
    </w:rPr>
  </w:style>
  <w:style w:type="paragraph" w:styleId="5">
    <w:name w:val="heading 4"/>
    <w:basedOn w:val="1"/>
    <w:next w:val="1"/>
    <w:link w:val="40"/>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1"/>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2"/>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3"/>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4"/>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5"/>
    <w:qFormat/>
    <w:uiPriority w:val="0"/>
    <w:pPr>
      <w:keepNext/>
      <w:keepLines/>
      <w:adjustRightInd/>
      <w:spacing w:before="240" w:after="64" w:line="320" w:lineRule="auto"/>
      <w:outlineLvl w:val="8"/>
    </w:pPr>
    <w:rPr>
      <w:rFonts w:ascii="Arial" w:hAnsi="Arial" w:eastAsia="黑体"/>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annotation text"/>
    <w:basedOn w:val="1"/>
    <w:link w:val="235"/>
    <w:semiHidden/>
    <w:unhideWhenUsed/>
    <w:qFormat/>
    <w:uiPriority w:val="99"/>
    <w:pPr>
      <w:jc w:val="left"/>
    </w:pPr>
  </w:style>
  <w:style w:type="paragraph" w:styleId="14">
    <w:name w:val="Body Text"/>
    <w:basedOn w:val="1"/>
    <w:link w:val="89"/>
    <w:qFormat/>
    <w:uiPriority w:val="0"/>
    <w:pPr>
      <w:spacing w:after="120"/>
    </w:pPr>
  </w:style>
  <w:style w:type="paragraph" w:styleId="15">
    <w:name w:val="toc 5"/>
    <w:basedOn w:val="1"/>
    <w:next w:val="1"/>
    <w:autoRedefine/>
    <w:unhideWhenUsed/>
    <w:qFormat/>
    <w:uiPriority w:val="39"/>
    <w:pPr>
      <w:ind w:left="839"/>
    </w:pPr>
    <w:rPr>
      <w:rFonts w:ascii="宋体"/>
    </w:rPr>
  </w:style>
  <w:style w:type="paragraph" w:styleId="16">
    <w:name w:val="toc 3"/>
    <w:basedOn w:val="1"/>
    <w:next w:val="1"/>
    <w:autoRedefine/>
    <w:unhideWhenUsed/>
    <w:qFormat/>
    <w:uiPriority w:val="39"/>
    <w:pPr>
      <w:spacing w:line="300" w:lineRule="exact"/>
      <w:ind w:left="420"/>
    </w:pPr>
    <w:rPr>
      <w:rFonts w:ascii="宋体"/>
    </w:rPr>
  </w:style>
  <w:style w:type="paragraph" w:styleId="17">
    <w:name w:val="Balloon Text"/>
    <w:basedOn w:val="1"/>
    <w:link w:val="48"/>
    <w:semiHidden/>
    <w:unhideWhenUsed/>
    <w:qFormat/>
    <w:uiPriority w:val="99"/>
    <w:rPr>
      <w:sz w:val="18"/>
      <w:szCs w:val="18"/>
    </w:rPr>
  </w:style>
  <w:style w:type="paragraph" w:styleId="18">
    <w:name w:val="footer"/>
    <w:basedOn w:val="1"/>
    <w:link w:val="47"/>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6"/>
    <w:qFormat/>
    <w:uiPriority w:val="99"/>
    <w:pPr>
      <w:tabs>
        <w:tab w:val="center" w:pos="4153"/>
        <w:tab w:val="right" w:pos="8306"/>
      </w:tabs>
      <w:adjustRightInd/>
      <w:snapToGrid w:val="0"/>
      <w:jc w:val="center"/>
    </w:pPr>
    <w:rPr>
      <w:sz w:val="18"/>
      <w:szCs w:val="18"/>
    </w:rPr>
  </w:style>
  <w:style w:type="paragraph" w:styleId="20">
    <w:name w:val="toc 1"/>
    <w:basedOn w:val="1"/>
    <w:next w:val="1"/>
    <w:autoRedefine/>
    <w:unhideWhenUsed/>
    <w:qFormat/>
    <w:uiPriority w:val="39"/>
    <w:rPr>
      <w:rFonts w:ascii="宋体"/>
    </w:rPr>
  </w:style>
  <w:style w:type="paragraph" w:styleId="21">
    <w:name w:val="toc 4"/>
    <w:basedOn w:val="1"/>
    <w:next w:val="1"/>
    <w:autoRedefine/>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2"/>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autoRedefine/>
    <w:unhideWhenUsed/>
    <w:qFormat/>
    <w:uiPriority w:val="39"/>
    <w:pPr>
      <w:spacing w:line="300" w:lineRule="exact"/>
      <w:ind w:left="1049"/>
    </w:pPr>
    <w:rPr>
      <w:rFonts w:ascii="宋体"/>
    </w:rPr>
  </w:style>
  <w:style w:type="paragraph" w:styleId="24">
    <w:name w:val="table of figures"/>
    <w:basedOn w:val="1"/>
    <w:next w:val="1"/>
    <w:semiHidden/>
    <w:qFormat/>
    <w:uiPriority w:val="0"/>
    <w:pPr>
      <w:adjustRightInd/>
      <w:spacing w:line="240" w:lineRule="auto"/>
      <w:jc w:val="left"/>
    </w:pPr>
    <w:rPr>
      <w:szCs w:val="24"/>
    </w:rPr>
  </w:style>
  <w:style w:type="paragraph" w:styleId="25">
    <w:name w:val="toc 2"/>
    <w:basedOn w:val="1"/>
    <w:next w:val="1"/>
    <w:autoRedefine/>
    <w:unhideWhenUsed/>
    <w:qFormat/>
    <w:uiPriority w:val="39"/>
    <w:pPr>
      <w:tabs>
        <w:tab w:val="right" w:leader="dot" w:pos="9344"/>
      </w:tabs>
      <w:spacing w:line="300" w:lineRule="exact"/>
      <w:ind w:left="210"/>
    </w:pPr>
    <w:rPr>
      <w:rFonts w:ascii="宋体"/>
    </w:rPr>
  </w:style>
  <w:style w:type="paragraph" w:styleId="26">
    <w:name w:val="Title"/>
    <w:basedOn w:val="1"/>
    <w:link w:val="51"/>
    <w:qFormat/>
    <w:uiPriority w:val="0"/>
    <w:pPr>
      <w:spacing w:before="240" w:after="60"/>
      <w:jc w:val="center"/>
      <w:outlineLvl w:val="0"/>
    </w:pPr>
    <w:rPr>
      <w:rFonts w:ascii="Arial" w:hAnsi="Arial" w:cs="Arial"/>
      <w:b/>
      <w:bCs/>
      <w:sz w:val="32"/>
      <w:szCs w:val="32"/>
    </w:rPr>
  </w:style>
  <w:style w:type="paragraph" w:styleId="27">
    <w:name w:val="annotation subject"/>
    <w:basedOn w:val="13"/>
    <w:next w:val="13"/>
    <w:link w:val="236"/>
    <w:semiHidden/>
    <w:unhideWhenUsed/>
    <w:qFormat/>
    <w:uiPriority w:val="99"/>
    <w:rPr>
      <w:b/>
      <w:bCs/>
    </w:rPr>
  </w:style>
  <w:style w:type="table" w:styleId="29">
    <w:name w:val="Table Grid"/>
    <w:basedOn w:val="2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qFormat/>
    <w:uiPriority w:val="22"/>
    <w:rPr>
      <w:b/>
      <w:bCs/>
    </w:rPr>
  </w:style>
  <w:style w:type="character" w:styleId="32">
    <w:name w:val="page number"/>
    <w:qFormat/>
    <w:uiPriority w:val="0"/>
    <w:rPr>
      <w:rFonts w:ascii="宋体" w:hAnsi="Times New Roman" w:eastAsia="宋体"/>
      <w:sz w:val="18"/>
    </w:rPr>
  </w:style>
  <w:style w:type="character" w:styleId="33">
    <w:name w:val="Emphasis"/>
    <w:qFormat/>
    <w:uiPriority w:val="20"/>
    <w:rPr>
      <w:i/>
      <w:iCs/>
    </w:rPr>
  </w:style>
  <w:style w:type="character" w:styleId="34">
    <w:name w:val="Hyperlink"/>
    <w:qFormat/>
    <w:uiPriority w:val="99"/>
    <w:rPr>
      <w:rFonts w:ascii="宋体" w:hAnsi="Times New Roman" w:eastAsia="宋体"/>
      <w:color w:val="auto"/>
      <w:spacing w:val="0"/>
      <w:w w:val="100"/>
      <w:position w:val="0"/>
      <w:sz w:val="21"/>
      <w:u w:val="none"/>
      <w:vertAlign w:val="baseline"/>
    </w:rPr>
  </w:style>
  <w:style w:type="character" w:styleId="35">
    <w:name w:val="annotation reference"/>
    <w:basedOn w:val="30"/>
    <w:semiHidden/>
    <w:unhideWhenUsed/>
    <w:qFormat/>
    <w:uiPriority w:val="99"/>
    <w:rPr>
      <w:sz w:val="21"/>
      <w:szCs w:val="21"/>
    </w:rPr>
  </w:style>
  <w:style w:type="character" w:styleId="36">
    <w:name w:val="footnote reference"/>
    <w:semiHidden/>
    <w:qFormat/>
    <w:uiPriority w:val="0"/>
    <w:rPr>
      <w:rFonts w:ascii="宋体" w:hAnsi="宋体" w:eastAsia="宋体" w:cs="Times New Roman"/>
      <w:spacing w:val="0"/>
      <w:sz w:val="18"/>
      <w:vertAlign w:val="superscript"/>
    </w:rPr>
  </w:style>
  <w:style w:type="character" w:customStyle="1" w:styleId="37">
    <w:name w:val="标题 1 字符"/>
    <w:link w:val="2"/>
    <w:qFormat/>
    <w:uiPriority w:val="0"/>
    <w:rPr>
      <w:b/>
      <w:bCs/>
      <w:kern w:val="44"/>
      <w:sz w:val="44"/>
      <w:szCs w:val="44"/>
    </w:rPr>
  </w:style>
  <w:style w:type="character" w:customStyle="1" w:styleId="38">
    <w:name w:val="标题 2 字符"/>
    <w:link w:val="3"/>
    <w:qFormat/>
    <w:uiPriority w:val="0"/>
    <w:rPr>
      <w:rFonts w:ascii="Arial" w:hAnsi="Arial" w:eastAsia="黑体"/>
      <w:b/>
      <w:bCs/>
      <w:kern w:val="2"/>
      <w:sz w:val="32"/>
      <w:szCs w:val="32"/>
    </w:rPr>
  </w:style>
  <w:style w:type="character" w:customStyle="1" w:styleId="39">
    <w:name w:val="标题 3 字符"/>
    <w:link w:val="4"/>
    <w:qFormat/>
    <w:uiPriority w:val="0"/>
    <w:rPr>
      <w:b/>
      <w:bCs/>
      <w:kern w:val="2"/>
      <w:sz w:val="32"/>
      <w:szCs w:val="32"/>
    </w:rPr>
  </w:style>
  <w:style w:type="character" w:customStyle="1" w:styleId="40">
    <w:name w:val="标题 4 字符"/>
    <w:link w:val="5"/>
    <w:qFormat/>
    <w:uiPriority w:val="0"/>
    <w:rPr>
      <w:rFonts w:ascii="Arial" w:hAnsi="Arial" w:eastAsia="黑体"/>
      <w:b/>
      <w:bCs/>
      <w:kern w:val="2"/>
      <w:sz w:val="28"/>
      <w:szCs w:val="28"/>
    </w:rPr>
  </w:style>
  <w:style w:type="character" w:customStyle="1" w:styleId="41">
    <w:name w:val="标题 5 字符"/>
    <w:link w:val="6"/>
    <w:qFormat/>
    <w:uiPriority w:val="0"/>
    <w:rPr>
      <w:b/>
      <w:bCs/>
      <w:kern w:val="2"/>
      <w:sz w:val="28"/>
      <w:szCs w:val="28"/>
    </w:rPr>
  </w:style>
  <w:style w:type="character" w:customStyle="1" w:styleId="42">
    <w:name w:val="标题 6 字符"/>
    <w:link w:val="7"/>
    <w:qFormat/>
    <w:uiPriority w:val="0"/>
    <w:rPr>
      <w:rFonts w:ascii="Arial" w:hAnsi="Arial" w:eastAsia="黑体"/>
      <w:b/>
      <w:bCs/>
      <w:kern w:val="2"/>
      <w:sz w:val="24"/>
      <w:szCs w:val="24"/>
    </w:rPr>
  </w:style>
  <w:style w:type="character" w:customStyle="1" w:styleId="43">
    <w:name w:val="标题 7 字符"/>
    <w:link w:val="8"/>
    <w:qFormat/>
    <w:uiPriority w:val="0"/>
    <w:rPr>
      <w:b/>
      <w:bCs/>
      <w:kern w:val="2"/>
      <w:sz w:val="24"/>
      <w:szCs w:val="24"/>
    </w:rPr>
  </w:style>
  <w:style w:type="character" w:customStyle="1" w:styleId="44">
    <w:name w:val="标题 8 字符"/>
    <w:link w:val="9"/>
    <w:qFormat/>
    <w:uiPriority w:val="0"/>
    <w:rPr>
      <w:rFonts w:ascii="Arial" w:hAnsi="Arial" w:eastAsia="黑体"/>
      <w:kern w:val="2"/>
      <w:sz w:val="24"/>
      <w:szCs w:val="24"/>
    </w:rPr>
  </w:style>
  <w:style w:type="character" w:customStyle="1" w:styleId="45">
    <w:name w:val="标题 9 字符"/>
    <w:link w:val="10"/>
    <w:qFormat/>
    <w:uiPriority w:val="0"/>
    <w:rPr>
      <w:rFonts w:ascii="Arial" w:hAnsi="Arial" w:eastAsia="黑体"/>
      <w:kern w:val="2"/>
      <w:sz w:val="21"/>
      <w:szCs w:val="21"/>
    </w:rPr>
  </w:style>
  <w:style w:type="character" w:customStyle="1" w:styleId="46">
    <w:name w:val="页眉 字符"/>
    <w:link w:val="19"/>
    <w:qFormat/>
    <w:uiPriority w:val="99"/>
    <w:rPr>
      <w:kern w:val="2"/>
      <w:sz w:val="18"/>
      <w:szCs w:val="18"/>
    </w:rPr>
  </w:style>
  <w:style w:type="character" w:customStyle="1" w:styleId="47">
    <w:name w:val="页脚 字符"/>
    <w:link w:val="18"/>
    <w:qFormat/>
    <w:uiPriority w:val="99"/>
    <w:rPr>
      <w:rFonts w:ascii="宋体"/>
      <w:kern w:val="2"/>
      <w:sz w:val="18"/>
      <w:szCs w:val="18"/>
    </w:rPr>
  </w:style>
  <w:style w:type="character" w:customStyle="1" w:styleId="48">
    <w:name w:val="批注框文本 字符"/>
    <w:link w:val="17"/>
    <w:semiHidden/>
    <w:qFormat/>
    <w:uiPriority w:val="99"/>
    <w:rPr>
      <w:kern w:val="2"/>
      <w:sz w:val="18"/>
      <w:szCs w:val="18"/>
    </w:rPr>
  </w:style>
  <w:style w:type="paragraph" w:styleId="49">
    <w:name w:val="Quote"/>
    <w:basedOn w:val="1"/>
    <w:next w:val="1"/>
    <w:link w:val="50"/>
    <w:qFormat/>
    <w:uiPriority w:val="29"/>
    <w:rPr>
      <w:i/>
      <w:iCs/>
      <w:color w:val="000000"/>
    </w:rPr>
  </w:style>
  <w:style w:type="character" w:customStyle="1" w:styleId="50">
    <w:name w:val="引用 字符"/>
    <w:link w:val="49"/>
    <w:qFormat/>
    <w:uiPriority w:val="29"/>
    <w:rPr>
      <w:i/>
      <w:iCs/>
      <w:color w:val="000000"/>
      <w:kern w:val="2"/>
      <w:sz w:val="21"/>
      <w:szCs w:val="21"/>
    </w:rPr>
  </w:style>
  <w:style w:type="character" w:customStyle="1" w:styleId="51">
    <w:name w:val="标题 字符"/>
    <w:link w:val="26"/>
    <w:qFormat/>
    <w:uiPriority w:val="0"/>
    <w:rPr>
      <w:rFonts w:ascii="Arial" w:hAnsi="Arial" w:cs="Arial"/>
      <w:b/>
      <w:bCs/>
      <w:kern w:val="2"/>
      <w:sz w:val="32"/>
      <w:szCs w:val="32"/>
    </w:rPr>
  </w:style>
  <w:style w:type="paragraph" w:customStyle="1" w:styleId="52">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3">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4">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5">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6">
    <w:name w:val="标准书眉一"/>
    <w:qFormat/>
    <w:uiPriority w:val="0"/>
    <w:pPr>
      <w:jc w:val="both"/>
    </w:pPr>
    <w:rPr>
      <w:rFonts w:ascii="Times New Roman" w:hAnsi="Times New Roman" w:eastAsia="宋体" w:cs="Times New Roman"/>
      <w:lang w:val="en-US" w:eastAsia="zh-CN" w:bidi="ar-SA"/>
    </w:rPr>
  </w:style>
  <w:style w:type="paragraph" w:customStyle="1" w:styleId="57">
    <w:name w:val="标准文件_ICS"/>
    <w:basedOn w:val="1"/>
    <w:qFormat/>
    <w:uiPriority w:val="0"/>
    <w:pPr>
      <w:spacing w:line="0" w:lineRule="atLeast"/>
    </w:pPr>
    <w:rPr>
      <w:rFonts w:ascii="黑体" w:hAnsi="宋体" w:eastAsia="黑体"/>
    </w:rPr>
  </w:style>
  <w:style w:type="paragraph" w:customStyle="1" w:styleId="58">
    <w:name w:val="标准文件_标准正文"/>
    <w:basedOn w:val="1"/>
    <w:next w:val="59"/>
    <w:qFormat/>
    <w:uiPriority w:val="0"/>
    <w:pPr>
      <w:snapToGrid w:val="0"/>
      <w:ind w:firstLine="200" w:firstLineChars="200"/>
    </w:pPr>
    <w:rPr>
      <w:kern w:val="0"/>
    </w:rPr>
  </w:style>
  <w:style w:type="paragraph" w:customStyle="1" w:styleId="59">
    <w:name w:val="标准文件_段"/>
    <w:link w:val="187"/>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0">
    <w:name w:val="标准文件_版本"/>
    <w:basedOn w:val="58"/>
    <w:qFormat/>
    <w:uiPriority w:val="0"/>
    <w:pPr>
      <w:adjustRightInd/>
      <w:snapToGrid/>
      <w:ind w:firstLine="0" w:firstLineChars="0"/>
    </w:pPr>
    <w:rPr>
      <w:rFonts w:ascii="宋体" w:hAnsi="宋体"/>
      <w:kern w:val="2"/>
    </w:rPr>
  </w:style>
  <w:style w:type="paragraph" w:customStyle="1" w:styleId="61">
    <w:name w:val="标准文件_标准部门"/>
    <w:basedOn w:val="1"/>
    <w:qFormat/>
    <w:uiPriority w:val="0"/>
    <w:pPr>
      <w:jc w:val="center"/>
    </w:pPr>
    <w:rPr>
      <w:rFonts w:ascii="黑体" w:eastAsia="黑体"/>
      <w:kern w:val="0"/>
      <w:sz w:val="44"/>
    </w:rPr>
  </w:style>
  <w:style w:type="paragraph" w:customStyle="1" w:styleId="62">
    <w:name w:val="标准文件_标准代替"/>
    <w:basedOn w:val="1"/>
    <w:next w:val="1"/>
    <w:qFormat/>
    <w:uiPriority w:val="0"/>
    <w:pPr>
      <w:spacing w:line="310" w:lineRule="exact"/>
      <w:jc w:val="right"/>
    </w:pPr>
    <w:rPr>
      <w:rFonts w:ascii="宋体" w:hAnsi="宋体"/>
      <w:kern w:val="0"/>
    </w:rPr>
  </w:style>
  <w:style w:type="paragraph" w:customStyle="1" w:styleId="63">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4">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5">
    <w:name w:val="标准文件_页眉偶数页"/>
    <w:basedOn w:val="64"/>
    <w:next w:val="1"/>
    <w:qFormat/>
    <w:uiPriority w:val="0"/>
    <w:pPr>
      <w:jc w:val="left"/>
    </w:pPr>
  </w:style>
  <w:style w:type="paragraph" w:customStyle="1" w:styleId="66">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7">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8">
    <w:name w:val="标准文件_二级条标题"/>
    <w:next w:val="59"/>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9">
    <w:name w:val="标准文件_发布"/>
    <w:qFormat/>
    <w:uiPriority w:val="0"/>
    <w:rPr>
      <w:rFonts w:ascii="黑体" w:eastAsia="黑体"/>
      <w:spacing w:val="0"/>
      <w:w w:val="100"/>
      <w:position w:val="3"/>
      <w:sz w:val="28"/>
    </w:rPr>
  </w:style>
  <w:style w:type="paragraph" w:customStyle="1" w:styleId="70">
    <w:name w:val="标准文件_方框数字列项"/>
    <w:basedOn w:val="59"/>
    <w:qFormat/>
    <w:uiPriority w:val="0"/>
    <w:pPr>
      <w:numPr>
        <w:ilvl w:val="0"/>
        <w:numId w:val="3"/>
      </w:numPr>
      <w:ind w:firstLine="0" w:firstLineChars="0"/>
    </w:pPr>
  </w:style>
  <w:style w:type="paragraph" w:customStyle="1" w:styleId="71">
    <w:name w:val="标准文件_封面标准编号"/>
    <w:basedOn w:val="1"/>
    <w:next w:val="62"/>
    <w:qFormat/>
    <w:uiPriority w:val="0"/>
    <w:pPr>
      <w:spacing w:line="310" w:lineRule="exact"/>
      <w:jc w:val="right"/>
    </w:pPr>
    <w:rPr>
      <w:rFonts w:ascii="黑体" w:eastAsia="黑体"/>
      <w:kern w:val="0"/>
      <w:sz w:val="28"/>
    </w:rPr>
  </w:style>
  <w:style w:type="paragraph" w:customStyle="1" w:styleId="72">
    <w:name w:val="标准文件_封面标准分类号"/>
    <w:basedOn w:val="1"/>
    <w:qFormat/>
    <w:uiPriority w:val="0"/>
    <w:rPr>
      <w:rFonts w:ascii="黑体" w:eastAsia="黑体"/>
      <w:b/>
      <w:kern w:val="0"/>
      <w:sz w:val="28"/>
    </w:rPr>
  </w:style>
  <w:style w:type="paragraph" w:customStyle="1" w:styleId="73">
    <w:name w:val="标准文件_封面标准名称"/>
    <w:basedOn w:val="1"/>
    <w:qFormat/>
    <w:uiPriority w:val="0"/>
    <w:pPr>
      <w:spacing w:line="240" w:lineRule="auto"/>
      <w:jc w:val="center"/>
    </w:pPr>
    <w:rPr>
      <w:rFonts w:ascii="黑体" w:eastAsia="黑体"/>
      <w:kern w:val="0"/>
      <w:sz w:val="52"/>
    </w:rPr>
  </w:style>
  <w:style w:type="paragraph" w:customStyle="1" w:styleId="74">
    <w:name w:val="标准文件_封面标准英文名称"/>
    <w:basedOn w:val="1"/>
    <w:qFormat/>
    <w:uiPriority w:val="0"/>
    <w:pPr>
      <w:spacing w:line="240" w:lineRule="auto"/>
      <w:jc w:val="center"/>
    </w:pPr>
    <w:rPr>
      <w:rFonts w:ascii="黑体" w:eastAsia="黑体"/>
      <w:b/>
      <w:sz w:val="28"/>
    </w:rPr>
  </w:style>
  <w:style w:type="paragraph" w:customStyle="1" w:styleId="75">
    <w:name w:val="标准文件_封面发布日期"/>
    <w:basedOn w:val="1"/>
    <w:qFormat/>
    <w:uiPriority w:val="0"/>
    <w:pPr>
      <w:spacing w:line="310" w:lineRule="exact"/>
    </w:pPr>
    <w:rPr>
      <w:rFonts w:ascii="黑体" w:eastAsia="黑体"/>
      <w:kern w:val="0"/>
      <w:sz w:val="28"/>
    </w:rPr>
  </w:style>
  <w:style w:type="paragraph" w:customStyle="1" w:styleId="76">
    <w:name w:val="标准文件_封面密级"/>
    <w:basedOn w:val="1"/>
    <w:qFormat/>
    <w:uiPriority w:val="0"/>
    <w:rPr>
      <w:rFonts w:eastAsia="黑体"/>
      <w:sz w:val="32"/>
    </w:rPr>
  </w:style>
  <w:style w:type="paragraph" w:customStyle="1" w:styleId="77">
    <w:name w:val="标准文件_封面实施日期"/>
    <w:basedOn w:val="1"/>
    <w:qFormat/>
    <w:uiPriority w:val="0"/>
    <w:pPr>
      <w:spacing w:line="310" w:lineRule="exact"/>
      <w:jc w:val="right"/>
    </w:pPr>
    <w:rPr>
      <w:rFonts w:ascii="黑体" w:eastAsia="黑体"/>
      <w:sz w:val="28"/>
    </w:rPr>
  </w:style>
  <w:style w:type="paragraph" w:customStyle="1" w:styleId="78">
    <w:name w:val="标准文件_封面抬头"/>
    <w:basedOn w:val="59"/>
    <w:qFormat/>
    <w:uiPriority w:val="0"/>
    <w:pPr>
      <w:adjustRightInd w:val="0"/>
      <w:spacing w:line="800" w:lineRule="exact"/>
      <w:ind w:firstLine="0" w:firstLineChars="0"/>
      <w:jc w:val="distribute"/>
    </w:pPr>
    <w:rPr>
      <w:rFonts w:ascii="黑体" w:eastAsia="黑体"/>
      <w:b/>
      <w:sz w:val="64"/>
    </w:rPr>
  </w:style>
  <w:style w:type="paragraph" w:customStyle="1" w:styleId="79">
    <w:name w:val="标准文件_附录标识"/>
    <w:next w:val="59"/>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80">
    <w:name w:val="标准文件_附录表标题"/>
    <w:next w:val="59"/>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81">
    <w:name w:val="标准文件_附录一级条标题"/>
    <w:next w:val="59"/>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2">
    <w:name w:val="标准文件_附录二级条标题"/>
    <w:basedOn w:val="81"/>
    <w:next w:val="59"/>
    <w:qFormat/>
    <w:uiPriority w:val="0"/>
    <w:pPr>
      <w:widowControl/>
      <w:numPr>
        <w:ilvl w:val="2"/>
      </w:numPr>
      <w:wordWrap w:val="0"/>
      <w:overflowPunct w:val="0"/>
      <w:autoSpaceDE w:val="0"/>
      <w:autoSpaceDN w:val="0"/>
      <w:textAlignment w:val="baseline"/>
      <w:outlineLvl w:val="3"/>
    </w:pPr>
  </w:style>
  <w:style w:type="paragraph" w:customStyle="1" w:styleId="83">
    <w:name w:val="标准文件_附录公式"/>
    <w:basedOn w:val="58"/>
    <w:next w:val="58"/>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4">
    <w:name w:val="标准文件_附录三级条标题"/>
    <w:next w:val="59"/>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5">
    <w:name w:val="标准文件_附录四级条标题"/>
    <w:next w:val="59"/>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6">
    <w:name w:val="标准文件_附录图标题"/>
    <w:next w:val="59"/>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7">
    <w:name w:val="标准文件_附录五级条标题"/>
    <w:next w:val="59"/>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8">
    <w:name w:val="标准文件_附录英文标识"/>
    <w:next w:val="14"/>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9">
    <w:name w:val="正文文本 字符"/>
    <w:link w:val="14"/>
    <w:qFormat/>
    <w:uiPriority w:val="0"/>
    <w:rPr>
      <w:kern w:val="2"/>
      <w:sz w:val="21"/>
      <w:szCs w:val="21"/>
    </w:rPr>
  </w:style>
  <w:style w:type="paragraph" w:customStyle="1" w:styleId="90">
    <w:name w:val="标准文件_附录章标题"/>
    <w:next w:val="59"/>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1">
    <w:name w:val="标准文件_公式后的破折号"/>
    <w:basedOn w:val="59"/>
    <w:next w:val="59"/>
    <w:qFormat/>
    <w:uiPriority w:val="0"/>
    <w:pPr>
      <w:ind w:left="488" w:leftChars="200" w:hanging="289" w:hangingChars="290"/>
    </w:pPr>
  </w:style>
  <w:style w:type="paragraph" w:customStyle="1" w:styleId="92">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3">
    <w:name w:val="标准文件_目次、标准名称标题"/>
    <w:basedOn w:val="92"/>
    <w:next w:val="59"/>
    <w:qFormat/>
    <w:uiPriority w:val="0"/>
    <w:pPr>
      <w:spacing w:line="460" w:lineRule="exact"/>
      <w:ind w:left="0" w:firstLine="0"/>
    </w:pPr>
  </w:style>
  <w:style w:type="paragraph" w:customStyle="1" w:styleId="94">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5">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6">
    <w:name w:val="标准文件_破折号列项（二级）"/>
    <w:basedOn w:val="95"/>
    <w:qFormat/>
    <w:uiPriority w:val="0"/>
    <w:pPr>
      <w:numPr>
        <w:numId w:val="10"/>
      </w:numPr>
    </w:pPr>
  </w:style>
  <w:style w:type="paragraph" w:customStyle="1" w:styleId="97">
    <w:name w:val="标准文件_三级条标题"/>
    <w:basedOn w:val="68"/>
    <w:next w:val="59"/>
    <w:qFormat/>
    <w:uiPriority w:val="0"/>
    <w:pPr>
      <w:widowControl/>
      <w:numPr>
        <w:ilvl w:val="4"/>
      </w:numPr>
      <w:outlineLvl w:val="3"/>
    </w:pPr>
  </w:style>
  <w:style w:type="character" w:customStyle="1" w:styleId="98">
    <w:name w:val="Subtle Reference"/>
    <w:qFormat/>
    <w:uiPriority w:val="31"/>
    <w:rPr>
      <w:smallCaps/>
      <w:color w:val="C0504D"/>
      <w:u w:val="single"/>
    </w:rPr>
  </w:style>
  <w:style w:type="paragraph" w:customStyle="1" w:styleId="99">
    <w:name w:val="标准文件_示例后续"/>
    <w:basedOn w:val="1"/>
    <w:qFormat/>
    <w:uiPriority w:val="0"/>
    <w:pPr>
      <w:adjustRightInd/>
      <w:spacing w:line="240" w:lineRule="auto"/>
      <w:ind w:firstLine="200" w:firstLineChars="200"/>
    </w:pPr>
    <w:rPr>
      <w:sz w:val="18"/>
      <w:szCs w:val="24"/>
    </w:rPr>
  </w:style>
  <w:style w:type="paragraph" w:customStyle="1" w:styleId="100">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1">
    <w:name w:val="标准文件_四级条标题"/>
    <w:next w:val="59"/>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2">
    <w:name w:val="脚注文本 字符"/>
    <w:link w:val="22"/>
    <w:semiHidden/>
    <w:qFormat/>
    <w:uiPriority w:val="0"/>
    <w:rPr>
      <w:rFonts w:ascii="宋体"/>
      <w:kern w:val="2"/>
      <w:sz w:val="18"/>
      <w:szCs w:val="18"/>
    </w:rPr>
  </w:style>
  <w:style w:type="paragraph" w:customStyle="1" w:styleId="103">
    <w:name w:val="标准文件_条文脚注"/>
    <w:basedOn w:val="22"/>
    <w:qFormat/>
    <w:uiPriority w:val="0"/>
    <w:pPr>
      <w:adjustRightInd w:val="0"/>
      <w:spacing w:line="240" w:lineRule="auto"/>
      <w:ind w:left="0" w:leftChars="0" w:firstLine="200" w:firstLineChars="200"/>
      <w:jc w:val="both"/>
    </w:pPr>
    <w:rPr>
      <w:rFonts w:hAnsi="宋体"/>
    </w:rPr>
  </w:style>
  <w:style w:type="paragraph" w:customStyle="1" w:styleId="104">
    <w:name w:val="标准文件_图表脚注"/>
    <w:basedOn w:val="1"/>
    <w:next w:val="59"/>
    <w:qFormat/>
    <w:uiPriority w:val="0"/>
    <w:pPr>
      <w:numPr>
        <w:ilvl w:val="0"/>
        <w:numId w:val="12"/>
      </w:numPr>
      <w:spacing w:line="240" w:lineRule="auto"/>
      <w:jc w:val="left"/>
    </w:pPr>
    <w:rPr>
      <w:rFonts w:ascii="宋体" w:hAnsi="宋体"/>
      <w:sz w:val="18"/>
    </w:rPr>
  </w:style>
  <w:style w:type="character" w:customStyle="1" w:styleId="105">
    <w:name w:val="标准文件_图表脚注内容"/>
    <w:qFormat/>
    <w:uiPriority w:val="0"/>
    <w:rPr>
      <w:rFonts w:ascii="宋体" w:hAnsi="宋体" w:eastAsia="宋体" w:cs="Times New Roman"/>
      <w:spacing w:val="0"/>
      <w:sz w:val="18"/>
      <w:vertAlign w:val="superscript"/>
    </w:rPr>
  </w:style>
  <w:style w:type="paragraph" w:customStyle="1" w:styleId="106">
    <w:name w:val="标准文件_五级条标题"/>
    <w:next w:val="59"/>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7">
    <w:name w:val="标准文件_章标题"/>
    <w:next w:val="59"/>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8">
    <w:name w:val="标准文件_一级条标题"/>
    <w:basedOn w:val="107"/>
    <w:next w:val="59"/>
    <w:qFormat/>
    <w:uiPriority w:val="0"/>
    <w:pPr>
      <w:numPr>
        <w:ilvl w:val="2"/>
      </w:numPr>
      <w:spacing w:before="50" w:beforeLines="50" w:after="50" w:afterLines="50"/>
      <w:ind w:left="284"/>
      <w:outlineLvl w:val="1"/>
    </w:pPr>
  </w:style>
  <w:style w:type="paragraph" w:customStyle="1" w:styleId="109">
    <w:name w:val="标准文件_一致程度"/>
    <w:basedOn w:val="1"/>
    <w:qFormat/>
    <w:uiPriority w:val="0"/>
    <w:pPr>
      <w:spacing w:line="440" w:lineRule="exact"/>
      <w:jc w:val="center"/>
    </w:pPr>
    <w:rPr>
      <w:sz w:val="28"/>
    </w:rPr>
  </w:style>
  <w:style w:type="paragraph" w:customStyle="1" w:styleId="110">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1">
    <w:name w:val="标准文件_英文图表脚注"/>
    <w:basedOn w:val="58"/>
    <w:qFormat/>
    <w:uiPriority w:val="0"/>
    <w:pPr>
      <w:widowControl/>
      <w:adjustRightInd/>
      <w:snapToGrid/>
      <w:spacing w:line="240" w:lineRule="auto"/>
      <w:ind w:left="79" w:hanging="79" w:hangingChars="80"/>
    </w:pPr>
    <w:rPr>
      <w:rFonts w:ascii="宋体" w:hAnsi="宋体"/>
    </w:rPr>
  </w:style>
  <w:style w:type="paragraph" w:customStyle="1" w:styleId="112">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3">
    <w:name w:val="标准文件_英文注："/>
    <w:basedOn w:val="1"/>
    <w:next w:val="59"/>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4">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5">
    <w:name w:val="标准文件_正文表标题"/>
    <w:next w:val="59"/>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6">
    <w:name w:val="标准文件_正文公式"/>
    <w:basedOn w:val="1"/>
    <w:next w:val="58"/>
    <w:qFormat/>
    <w:uiPriority w:val="0"/>
    <w:pPr>
      <w:tabs>
        <w:tab w:val="center" w:pos="4678"/>
        <w:tab w:val="right" w:leader="middleDot" w:pos="9356"/>
      </w:tabs>
      <w:spacing w:line="240" w:lineRule="auto"/>
    </w:pPr>
    <w:rPr>
      <w:rFonts w:ascii="宋体" w:hAnsi="宋体"/>
    </w:rPr>
  </w:style>
  <w:style w:type="paragraph" w:customStyle="1" w:styleId="117">
    <w:name w:val="标准文件_正文图标题"/>
    <w:next w:val="59"/>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8">
    <w:name w:val="标准文件_正文英文表标题"/>
    <w:next w:val="59"/>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9">
    <w:name w:val="标准文件_正文英文图标题"/>
    <w:next w:val="59"/>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0">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21">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2">
    <w:name w:val="发布部门"/>
    <w:next w:val="59"/>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3">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4">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5">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6">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7">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8">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9">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0">
    <w:name w:val="封面正文"/>
    <w:qFormat/>
    <w:uiPriority w:val="0"/>
    <w:pPr>
      <w:jc w:val="both"/>
    </w:pPr>
    <w:rPr>
      <w:rFonts w:ascii="Times New Roman" w:hAnsi="Times New Roman" w:eastAsia="宋体" w:cs="Times New Roman"/>
      <w:lang w:val="en-US" w:eastAsia="zh-CN" w:bidi="ar-SA"/>
    </w:rPr>
  </w:style>
  <w:style w:type="paragraph" w:customStyle="1" w:styleId="131">
    <w:name w:val="附录二级无标题条"/>
    <w:basedOn w:val="1"/>
    <w:next w:val="59"/>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2">
    <w:name w:val="附录三级无标题条"/>
    <w:basedOn w:val="131"/>
    <w:next w:val="59"/>
    <w:qFormat/>
    <w:uiPriority w:val="0"/>
    <w:pPr>
      <w:outlineLvl w:val="4"/>
    </w:pPr>
  </w:style>
  <w:style w:type="paragraph" w:customStyle="1" w:styleId="133">
    <w:name w:val="附录四级无标题条"/>
    <w:basedOn w:val="132"/>
    <w:next w:val="59"/>
    <w:qFormat/>
    <w:uiPriority w:val="0"/>
    <w:pPr>
      <w:outlineLvl w:val="5"/>
    </w:pPr>
  </w:style>
  <w:style w:type="paragraph" w:customStyle="1" w:styleId="134">
    <w:name w:val="附录图"/>
    <w:next w:val="59"/>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5">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6">
    <w:name w:val="附录五级无标题条"/>
    <w:basedOn w:val="133"/>
    <w:next w:val="59"/>
    <w:qFormat/>
    <w:uiPriority w:val="0"/>
    <w:pPr>
      <w:outlineLvl w:val="6"/>
    </w:pPr>
  </w:style>
  <w:style w:type="paragraph" w:customStyle="1" w:styleId="137">
    <w:name w:val="附录性质"/>
    <w:basedOn w:val="1"/>
    <w:qFormat/>
    <w:uiPriority w:val="0"/>
    <w:pPr>
      <w:widowControl/>
      <w:adjustRightInd/>
      <w:jc w:val="center"/>
    </w:pPr>
    <w:rPr>
      <w:rFonts w:ascii="黑体" w:eastAsia="黑体"/>
    </w:rPr>
  </w:style>
  <w:style w:type="paragraph" w:customStyle="1" w:styleId="138">
    <w:name w:val="附录一级无标题条"/>
    <w:basedOn w:val="90"/>
    <w:next w:val="59"/>
    <w:qFormat/>
    <w:uiPriority w:val="0"/>
    <w:pPr>
      <w:autoSpaceDN w:val="0"/>
      <w:outlineLvl w:val="2"/>
    </w:pPr>
    <w:rPr>
      <w:rFonts w:ascii="宋体" w:hAnsi="宋体" w:eastAsia="宋体"/>
    </w:rPr>
  </w:style>
  <w:style w:type="character" w:customStyle="1" w:styleId="139">
    <w:name w:val="个人答复风格"/>
    <w:qFormat/>
    <w:uiPriority w:val="0"/>
    <w:rPr>
      <w:rFonts w:ascii="Arial" w:hAnsi="Arial" w:eastAsia="宋体" w:cs="Arial"/>
      <w:color w:val="auto"/>
      <w:spacing w:val="0"/>
      <w:sz w:val="20"/>
    </w:rPr>
  </w:style>
  <w:style w:type="character" w:customStyle="1" w:styleId="140">
    <w:name w:val="个人撰写风格"/>
    <w:qFormat/>
    <w:uiPriority w:val="0"/>
    <w:rPr>
      <w:rFonts w:ascii="Arial" w:hAnsi="Arial" w:eastAsia="宋体" w:cs="Arial"/>
      <w:color w:val="auto"/>
      <w:spacing w:val="0"/>
      <w:sz w:val="20"/>
    </w:rPr>
  </w:style>
  <w:style w:type="paragraph" w:customStyle="1" w:styleId="141">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2">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3">
    <w:name w:val="列项·"/>
    <w:basedOn w:val="59"/>
    <w:qFormat/>
    <w:uiPriority w:val="0"/>
    <w:pPr>
      <w:tabs>
        <w:tab w:val="left" w:pos="840"/>
      </w:tabs>
    </w:pPr>
  </w:style>
  <w:style w:type="paragraph" w:customStyle="1" w:styleId="144">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5">
    <w:name w:val="目录 21"/>
    <w:basedOn w:val="1"/>
    <w:next w:val="1"/>
    <w:autoRedefine/>
    <w:semiHidden/>
    <w:qFormat/>
    <w:uiPriority w:val="0"/>
    <w:pPr>
      <w:adjustRightInd/>
      <w:spacing w:line="240" w:lineRule="auto"/>
      <w:jc w:val="left"/>
    </w:pPr>
    <w:rPr>
      <w:bCs/>
      <w:iCs/>
    </w:rPr>
  </w:style>
  <w:style w:type="paragraph" w:customStyle="1" w:styleId="146">
    <w:name w:val="目录 31"/>
    <w:basedOn w:val="1"/>
    <w:next w:val="1"/>
    <w:autoRedefine/>
    <w:semiHidden/>
    <w:qFormat/>
    <w:uiPriority w:val="0"/>
    <w:pPr>
      <w:spacing w:line="240" w:lineRule="auto"/>
    </w:pPr>
    <w:rPr>
      <w:rFonts w:ascii="宋体" w:hAnsi="宋体"/>
      <w:iCs/>
    </w:rPr>
  </w:style>
  <w:style w:type="paragraph" w:customStyle="1" w:styleId="147">
    <w:name w:val="目录 41"/>
    <w:basedOn w:val="1"/>
    <w:next w:val="1"/>
    <w:autoRedefine/>
    <w:semiHidden/>
    <w:qFormat/>
    <w:uiPriority w:val="0"/>
    <w:pPr>
      <w:adjustRightInd/>
      <w:spacing w:line="240" w:lineRule="auto"/>
      <w:jc w:val="left"/>
    </w:pPr>
  </w:style>
  <w:style w:type="paragraph" w:customStyle="1" w:styleId="148">
    <w:name w:val="目录 51"/>
    <w:basedOn w:val="1"/>
    <w:next w:val="1"/>
    <w:autoRedefine/>
    <w:semiHidden/>
    <w:qFormat/>
    <w:uiPriority w:val="0"/>
    <w:pPr>
      <w:spacing w:line="240" w:lineRule="auto"/>
    </w:pPr>
    <w:rPr>
      <w:rFonts w:ascii="宋体" w:hAnsi="宋体"/>
    </w:rPr>
  </w:style>
  <w:style w:type="paragraph" w:customStyle="1" w:styleId="149">
    <w:name w:val="目录 61"/>
    <w:basedOn w:val="1"/>
    <w:next w:val="1"/>
    <w:autoRedefine/>
    <w:semiHidden/>
    <w:qFormat/>
    <w:uiPriority w:val="0"/>
    <w:pPr>
      <w:adjustRightInd/>
      <w:spacing w:line="240" w:lineRule="auto"/>
      <w:jc w:val="left"/>
    </w:pPr>
  </w:style>
  <w:style w:type="paragraph" w:customStyle="1" w:styleId="150">
    <w:name w:val="目录 71"/>
    <w:basedOn w:val="149"/>
    <w:autoRedefine/>
    <w:semiHidden/>
    <w:qFormat/>
    <w:uiPriority w:val="0"/>
    <w:pPr>
      <w:ind w:left="1260"/>
    </w:pPr>
  </w:style>
  <w:style w:type="paragraph" w:customStyle="1" w:styleId="151">
    <w:name w:val="目录 81"/>
    <w:basedOn w:val="150"/>
    <w:autoRedefine/>
    <w:semiHidden/>
    <w:qFormat/>
    <w:uiPriority w:val="0"/>
    <w:pPr>
      <w:ind w:left="1470"/>
    </w:pPr>
  </w:style>
  <w:style w:type="paragraph" w:customStyle="1" w:styleId="152">
    <w:name w:val="目录 91"/>
    <w:basedOn w:val="151"/>
    <w:autoRedefine/>
    <w:semiHidden/>
    <w:qFormat/>
    <w:uiPriority w:val="0"/>
    <w:pPr>
      <w:ind w:left="1680"/>
    </w:pPr>
  </w:style>
  <w:style w:type="paragraph" w:customStyle="1" w:styleId="153">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4">
    <w:name w:val="其他发布部门"/>
    <w:basedOn w:val="122"/>
    <w:qFormat/>
    <w:uiPriority w:val="0"/>
    <w:pPr>
      <w:framePr w:wrap="around"/>
      <w:spacing w:line="0" w:lineRule="atLeast"/>
    </w:pPr>
    <w:rPr>
      <w:rFonts w:ascii="黑体" w:eastAsia="黑体"/>
      <w:b w:val="0"/>
    </w:rPr>
  </w:style>
  <w:style w:type="paragraph" w:customStyle="1" w:styleId="155">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6">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7">
    <w:name w:val="实施日期"/>
    <w:basedOn w:val="123"/>
    <w:qFormat/>
    <w:uiPriority w:val="0"/>
    <w:pPr>
      <w:framePr w:hSpace="0" w:wrap="around" w:xAlign="right"/>
      <w:jc w:val="right"/>
    </w:pPr>
  </w:style>
  <w:style w:type="paragraph" w:customStyle="1" w:styleId="158">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9">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0">
    <w:name w:val="无标题条"/>
    <w:next w:val="59"/>
    <w:qFormat/>
    <w:uiPriority w:val="0"/>
    <w:pPr>
      <w:jc w:val="both"/>
    </w:pPr>
    <w:rPr>
      <w:rFonts w:ascii="宋体" w:hAnsi="宋体" w:eastAsia="宋体" w:cs="Times New Roman"/>
      <w:sz w:val="21"/>
      <w:lang w:val="en-US" w:eastAsia="zh-CN" w:bidi="ar-SA"/>
    </w:rPr>
  </w:style>
  <w:style w:type="paragraph" w:customStyle="1" w:styleId="161">
    <w:name w:val="五级无标题条"/>
    <w:basedOn w:val="1"/>
    <w:qFormat/>
    <w:uiPriority w:val="0"/>
    <w:pPr>
      <w:numPr>
        <w:ilvl w:val="6"/>
        <w:numId w:val="20"/>
      </w:numPr>
      <w:adjustRightInd/>
    </w:pPr>
    <w:rPr>
      <w:szCs w:val="24"/>
    </w:rPr>
  </w:style>
  <w:style w:type="paragraph" w:customStyle="1" w:styleId="162">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3">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4">
    <w:name w:val="注×:后续"/>
    <w:basedOn w:val="163"/>
    <w:qFormat/>
    <w:uiPriority w:val="0"/>
    <w:pPr>
      <w:ind w:left="1406" w:leftChars="0" w:hanging="499" w:firstLineChars="0"/>
    </w:pPr>
  </w:style>
  <w:style w:type="paragraph" w:customStyle="1" w:styleId="165">
    <w:name w:val="标准文件_一级无标题"/>
    <w:basedOn w:val="108"/>
    <w:qFormat/>
    <w:uiPriority w:val="0"/>
    <w:pPr>
      <w:spacing w:before="0" w:beforeLines="0" w:after="0" w:afterLines="0"/>
      <w:outlineLvl w:val="9"/>
    </w:pPr>
    <w:rPr>
      <w:rFonts w:ascii="宋体" w:eastAsia="宋体"/>
    </w:rPr>
  </w:style>
  <w:style w:type="paragraph" w:customStyle="1" w:styleId="166">
    <w:name w:val="标准文件_五级无标题"/>
    <w:basedOn w:val="106"/>
    <w:qFormat/>
    <w:uiPriority w:val="0"/>
    <w:pPr>
      <w:spacing w:before="0" w:beforeLines="0" w:after="0" w:afterLines="0"/>
      <w:outlineLvl w:val="9"/>
    </w:pPr>
    <w:rPr>
      <w:rFonts w:ascii="宋体" w:eastAsia="宋体"/>
    </w:rPr>
  </w:style>
  <w:style w:type="paragraph" w:customStyle="1" w:styleId="167">
    <w:name w:val="标准文件_三级无标题"/>
    <w:basedOn w:val="97"/>
    <w:qFormat/>
    <w:uiPriority w:val="0"/>
    <w:pPr>
      <w:spacing w:before="0" w:beforeLines="0" w:after="0" w:afterLines="0"/>
      <w:outlineLvl w:val="9"/>
    </w:pPr>
    <w:rPr>
      <w:rFonts w:ascii="宋体" w:eastAsia="宋体"/>
    </w:rPr>
  </w:style>
  <w:style w:type="paragraph" w:customStyle="1" w:styleId="168">
    <w:name w:val="标准文件_二级无标题"/>
    <w:basedOn w:val="68"/>
    <w:qFormat/>
    <w:uiPriority w:val="0"/>
    <w:pPr>
      <w:spacing w:before="0" w:beforeLines="0" w:after="0" w:afterLines="0"/>
      <w:outlineLvl w:val="9"/>
    </w:pPr>
    <w:rPr>
      <w:rFonts w:ascii="宋体" w:eastAsia="宋体"/>
    </w:rPr>
  </w:style>
  <w:style w:type="paragraph" w:customStyle="1" w:styleId="169">
    <w:name w:val="标准_四级无标题"/>
    <w:basedOn w:val="101"/>
    <w:next w:val="59"/>
    <w:qFormat/>
    <w:uiPriority w:val="0"/>
    <w:rPr>
      <w:rFonts w:eastAsia="宋体"/>
    </w:rPr>
  </w:style>
  <w:style w:type="paragraph" w:customStyle="1" w:styleId="170">
    <w:name w:val="标准文件_四级无标题"/>
    <w:basedOn w:val="101"/>
    <w:qFormat/>
    <w:uiPriority w:val="0"/>
    <w:pPr>
      <w:spacing w:before="0" w:beforeLines="0" w:after="0" w:afterLines="0"/>
      <w:outlineLvl w:val="9"/>
    </w:pPr>
    <w:rPr>
      <w:rFonts w:ascii="宋体" w:hAnsi="黑体" w:eastAsia="宋体"/>
      <w:szCs w:val="52"/>
    </w:rPr>
  </w:style>
  <w:style w:type="paragraph" w:customStyle="1" w:styleId="171">
    <w:name w:val="标准文件_大写罗马数字编号列项"/>
    <w:basedOn w:val="59"/>
    <w:qFormat/>
    <w:uiPriority w:val="0"/>
    <w:pPr>
      <w:numPr>
        <w:ilvl w:val="0"/>
        <w:numId w:val="23"/>
      </w:numPr>
      <w:ind w:firstLine="0" w:firstLineChars="0"/>
    </w:pPr>
    <w:rPr>
      <w:rFonts w:ascii="Times New Roman" w:cs="Arial"/>
      <w:szCs w:val="28"/>
    </w:rPr>
  </w:style>
  <w:style w:type="paragraph" w:customStyle="1" w:styleId="172">
    <w:name w:val="标准文件_小写罗马数字编号列项"/>
    <w:basedOn w:val="59"/>
    <w:qFormat/>
    <w:uiPriority w:val="0"/>
    <w:pPr>
      <w:numPr>
        <w:ilvl w:val="0"/>
        <w:numId w:val="24"/>
      </w:numPr>
      <w:ind w:firstLine="0" w:firstLineChars="0"/>
    </w:pPr>
    <w:rPr>
      <w:rFonts w:cs="Arial"/>
      <w:szCs w:val="28"/>
    </w:rPr>
  </w:style>
  <w:style w:type="paragraph" w:customStyle="1" w:styleId="173">
    <w:name w:val="标准文件_附录标题"/>
    <w:basedOn w:val="79"/>
    <w:qFormat/>
    <w:uiPriority w:val="0"/>
    <w:pPr>
      <w:numPr>
        <w:numId w:val="0"/>
      </w:numPr>
      <w:spacing w:after="280"/>
      <w:outlineLvl w:val="9"/>
    </w:pPr>
  </w:style>
  <w:style w:type="paragraph" w:customStyle="1" w:styleId="174">
    <w:name w:val="标准文件_二级项"/>
    <w:qFormat/>
    <w:uiPriority w:val="0"/>
    <w:rPr>
      <w:rFonts w:ascii="宋体" w:hAnsi="Times New Roman" w:eastAsia="宋体" w:cs="Times New Roman"/>
      <w:sz w:val="21"/>
      <w:lang w:val="en-US" w:eastAsia="zh-CN" w:bidi="ar-SA"/>
    </w:rPr>
  </w:style>
  <w:style w:type="paragraph" w:customStyle="1" w:styleId="175">
    <w:name w:val="标准文件_三级项"/>
    <w:basedOn w:val="1"/>
    <w:qFormat/>
    <w:uiPriority w:val="0"/>
    <w:pPr>
      <w:numPr>
        <w:ilvl w:val="2"/>
        <w:numId w:val="21"/>
      </w:numPr>
      <w:spacing w:line="536870612" w:lineRule="auto"/>
    </w:pPr>
    <w:rPr>
      <w:rFonts w:ascii="Times New Roman" w:hAnsi="Times New Roman"/>
    </w:rPr>
  </w:style>
  <w:style w:type="paragraph" w:customStyle="1" w:styleId="176">
    <w:name w:val="图表脚注说明"/>
    <w:basedOn w:val="1"/>
    <w:next w:val="59"/>
    <w:qFormat/>
    <w:uiPriority w:val="0"/>
    <w:pPr>
      <w:numPr>
        <w:ilvl w:val="0"/>
        <w:numId w:val="25"/>
      </w:numPr>
      <w:adjustRightInd/>
      <w:spacing w:line="240" w:lineRule="auto"/>
    </w:pPr>
    <w:rPr>
      <w:rFonts w:ascii="宋体" w:hAnsi="Times New Roman"/>
      <w:sz w:val="18"/>
      <w:szCs w:val="18"/>
    </w:rPr>
  </w:style>
  <w:style w:type="paragraph" w:customStyle="1" w:styleId="177">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8">
    <w:name w:val="标准文件_索引字母"/>
    <w:next w:val="59"/>
    <w:qFormat/>
    <w:uiPriority w:val="0"/>
    <w:pPr>
      <w:jc w:val="center"/>
    </w:pPr>
    <w:rPr>
      <w:rFonts w:ascii="宋体" w:hAnsi="宋体" w:eastAsia="Times New Roman" w:cs="Times New Roman"/>
      <w:b/>
      <w:kern w:val="2"/>
      <w:sz w:val="21"/>
      <w:lang w:val="en-US" w:eastAsia="zh-CN" w:bidi="ar-SA"/>
    </w:rPr>
  </w:style>
  <w:style w:type="paragraph" w:customStyle="1" w:styleId="179">
    <w:name w:val="标准文件_附录前"/>
    <w:next w:val="59"/>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0">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81">
    <w:name w:val="标准文件_表格"/>
    <w:basedOn w:val="59"/>
    <w:qFormat/>
    <w:uiPriority w:val="0"/>
    <w:pPr>
      <w:ind w:firstLine="0" w:firstLineChars="0"/>
      <w:jc w:val="center"/>
    </w:pPr>
    <w:rPr>
      <w:sz w:val="18"/>
    </w:rPr>
  </w:style>
  <w:style w:type="paragraph" w:customStyle="1" w:styleId="182">
    <w:name w:val="标准文件_注："/>
    <w:next w:val="59"/>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3">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4">
    <w:name w:val="标准文件_示例："/>
    <w:next w:val="185"/>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5">
    <w:name w:val="标准文件_示例内容"/>
    <w:basedOn w:val="59"/>
    <w:qFormat/>
    <w:uiPriority w:val="0"/>
    <w:pPr>
      <w:ind w:firstLine="420"/>
    </w:pPr>
    <w:rPr>
      <w:sz w:val="18"/>
    </w:rPr>
  </w:style>
  <w:style w:type="paragraph" w:customStyle="1" w:styleId="186">
    <w:name w:val="标准文件_示例×："/>
    <w:basedOn w:val="1"/>
    <w:next w:val="185"/>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7">
    <w:name w:val="标准文件_段 Char"/>
    <w:link w:val="59"/>
    <w:qFormat/>
    <w:uiPriority w:val="0"/>
    <w:rPr>
      <w:rFonts w:ascii="宋体" w:hAnsi="Times New Roman"/>
      <w:sz w:val="21"/>
    </w:rPr>
  </w:style>
  <w:style w:type="paragraph" w:customStyle="1" w:styleId="188">
    <w:name w:val="标准文件_表格续"/>
    <w:basedOn w:val="59"/>
    <w:next w:val="59"/>
    <w:qFormat/>
    <w:uiPriority w:val="0"/>
    <w:pPr>
      <w:jc w:val="center"/>
    </w:pPr>
    <w:rPr>
      <w:rFonts w:ascii="黑体" w:hAnsi="黑体" w:eastAsia="黑体"/>
    </w:rPr>
  </w:style>
  <w:style w:type="character" w:styleId="189">
    <w:name w:val="Placeholder Text"/>
    <w:basedOn w:val="30"/>
    <w:semiHidden/>
    <w:qFormat/>
    <w:uiPriority w:val="99"/>
    <w:rPr>
      <w:color w:val="808080"/>
    </w:rPr>
  </w:style>
  <w:style w:type="paragraph" w:customStyle="1" w:styleId="190">
    <w:name w:val="标准文件_二级项2"/>
    <w:basedOn w:val="59"/>
    <w:qFormat/>
    <w:uiPriority w:val="0"/>
    <w:pPr>
      <w:numPr>
        <w:ilvl w:val="1"/>
        <w:numId w:val="21"/>
      </w:numPr>
      <w:ind w:firstLine="0" w:firstLineChars="0"/>
    </w:pPr>
  </w:style>
  <w:style w:type="paragraph" w:customStyle="1" w:styleId="191">
    <w:name w:val="标准文件_三级项2"/>
    <w:basedOn w:val="59"/>
    <w:qFormat/>
    <w:uiPriority w:val="0"/>
    <w:pPr>
      <w:numPr>
        <w:ilvl w:val="0"/>
        <w:numId w:val="30"/>
      </w:numPr>
      <w:spacing w:line="300" w:lineRule="exact"/>
      <w:ind w:firstLineChars="0"/>
    </w:pPr>
    <w:rPr>
      <w:rFonts w:ascii="Times New Roman"/>
    </w:rPr>
  </w:style>
  <w:style w:type="paragraph" w:customStyle="1" w:styleId="192">
    <w:name w:val="标准文件_一级项2"/>
    <w:basedOn w:val="59"/>
    <w:qFormat/>
    <w:uiPriority w:val="0"/>
    <w:pPr>
      <w:numPr>
        <w:ilvl w:val="0"/>
        <w:numId w:val="31"/>
      </w:numPr>
      <w:spacing w:line="300" w:lineRule="exact"/>
      <w:ind w:firstLineChars="0"/>
    </w:pPr>
    <w:rPr>
      <w:rFonts w:ascii="Times New Roman"/>
    </w:rPr>
  </w:style>
  <w:style w:type="paragraph" w:customStyle="1" w:styleId="193">
    <w:name w:val="标准文件_提示"/>
    <w:basedOn w:val="59"/>
    <w:next w:val="59"/>
    <w:qFormat/>
    <w:uiPriority w:val="0"/>
    <w:pPr>
      <w:ind w:firstLine="420"/>
    </w:pPr>
    <w:rPr>
      <w:rFonts w:ascii="黑体" w:eastAsia="黑体"/>
    </w:rPr>
  </w:style>
  <w:style w:type="character" w:customStyle="1" w:styleId="194">
    <w:name w:val="标准文件_来源"/>
    <w:basedOn w:val="30"/>
    <w:qFormat/>
    <w:uiPriority w:val="1"/>
    <w:rPr>
      <w:rFonts w:eastAsia="宋体"/>
      <w:sz w:val="21"/>
    </w:rPr>
  </w:style>
  <w:style w:type="paragraph" w:customStyle="1" w:styleId="195">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6">
    <w:name w:val="其他发布日期"/>
    <w:basedOn w:val="123"/>
    <w:qFormat/>
    <w:uiPriority w:val="0"/>
    <w:pPr>
      <w:framePr w:w="3997" w:h="471" w:hRule="exact" w:hSpace="0" w:vSpace="181" w:wrap="around" w:vAnchor="page" w:hAnchor="page" w:x="1419" w:y="14097"/>
    </w:pPr>
  </w:style>
  <w:style w:type="paragraph" w:customStyle="1" w:styleId="197">
    <w:name w:val="其他实施日期"/>
    <w:basedOn w:val="157"/>
    <w:qFormat/>
    <w:uiPriority w:val="0"/>
    <w:pPr>
      <w:framePr w:w="3997" w:h="471" w:hRule="exact" w:vSpace="181" w:wrap="around" w:vAnchor="page" w:hAnchor="page" w:x="7089" w:y="14097"/>
    </w:pPr>
  </w:style>
  <w:style w:type="paragraph" w:customStyle="1" w:styleId="198">
    <w:name w:val="标准文件_文件编号"/>
    <w:basedOn w:val="59"/>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9">
    <w:name w:val="标准文件_替换文件编号"/>
    <w:basedOn w:val="198"/>
    <w:qFormat/>
    <w:uiPriority w:val="0"/>
    <w:pPr>
      <w:framePr/>
      <w:spacing w:before="57"/>
    </w:pPr>
    <w:rPr>
      <w:sz w:val="21"/>
    </w:rPr>
  </w:style>
  <w:style w:type="paragraph" w:customStyle="1" w:styleId="200">
    <w:name w:val="标准文件_文件名称"/>
    <w:basedOn w:val="59"/>
    <w:next w:val="59"/>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1">
    <w:name w:val="标准文件_附录图标号"/>
    <w:basedOn w:val="59"/>
    <w:next w:val="59"/>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2">
    <w:name w:val="标准文件_附录表标号"/>
    <w:basedOn w:val="59"/>
    <w:next w:val="59"/>
    <w:qFormat/>
    <w:uiPriority w:val="0"/>
    <w:pPr>
      <w:numPr>
        <w:ilvl w:val="0"/>
        <w:numId w:val="5"/>
      </w:numPr>
      <w:spacing w:line="14" w:lineRule="exact"/>
      <w:ind w:firstLine="0" w:firstLineChars="0"/>
      <w:jc w:val="center"/>
    </w:pPr>
    <w:rPr>
      <w:rFonts w:eastAsia="黑体"/>
      <w:vanish/>
      <w:sz w:val="2"/>
    </w:rPr>
  </w:style>
  <w:style w:type="paragraph" w:customStyle="1" w:styleId="203">
    <w:name w:val="标准文件_引言一级条标题"/>
    <w:basedOn w:val="59"/>
    <w:next w:val="59"/>
    <w:qFormat/>
    <w:uiPriority w:val="0"/>
    <w:pPr>
      <w:numPr>
        <w:ilvl w:val="1"/>
        <w:numId w:val="8"/>
      </w:numPr>
      <w:spacing w:before="50" w:beforeLines="50" w:after="50" w:afterLines="50"/>
      <w:ind w:firstLineChars="0"/>
    </w:pPr>
    <w:rPr>
      <w:rFonts w:ascii="黑体" w:eastAsia="黑体"/>
    </w:rPr>
  </w:style>
  <w:style w:type="paragraph" w:customStyle="1" w:styleId="204">
    <w:name w:val="标准文件_引言二级条标题"/>
    <w:basedOn w:val="59"/>
    <w:next w:val="59"/>
    <w:qFormat/>
    <w:uiPriority w:val="0"/>
    <w:pPr>
      <w:numPr>
        <w:ilvl w:val="2"/>
        <w:numId w:val="8"/>
      </w:numPr>
      <w:spacing w:before="50" w:beforeLines="50" w:after="50" w:afterLines="50"/>
      <w:ind w:firstLineChars="0"/>
    </w:pPr>
    <w:rPr>
      <w:rFonts w:ascii="黑体" w:eastAsia="黑体"/>
    </w:rPr>
  </w:style>
  <w:style w:type="paragraph" w:customStyle="1" w:styleId="205">
    <w:name w:val="标准文件_引言三级条标题"/>
    <w:basedOn w:val="59"/>
    <w:next w:val="59"/>
    <w:qFormat/>
    <w:uiPriority w:val="0"/>
    <w:pPr>
      <w:numPr>
        <w:ilvl w:val="3"/>
        <w:numId w:val="8"/>
      </w:numPr>
      <w:spacing w:before="50" w:beforeLines="50" w:after="50" w:afterLines="50"/>
      <w:ind w:firstLineChars="0"/>
    </w:pPr>
    <w:rPr>
      <w:rFonts w:ascii="黑体" w:eastAsia="黑体"/>
    </w:rPr>
  </w:style>
  <w:style w:type="paragraph" w:customStyle="1" w:styleId="206">
    <w:name w:val="标准文件_引言四级条标题"/>
    <w:basedOn w:val="59"/>
    <w:next w:val="59"/>
    <w:qFormat/>
    <w:uiPriority w:val="0"/>
    <w:pPr>
      <w:numPr>
        <w:ilvl w:val="4"/>
        <w:numId w:val="8"/>
      </w:numPr>
      <w:spacing w:before="50" w:beforeLines="50" w:after="50" w:afterLines="50"/>
      <w:ind w:firstLineChars="0"/>
    </w:pPr>
    <w:rPr>
      <w:rFonts w:ascii="黑体" w:eastAsia="黑体"/>
    </w:rPr>
  </w:style>
  <w:style w:type="paragraph" w:customStyle="1" w:styleId="207">
    <w:name w:val="标准文件_引言五级条标题"/>
    <w:basedOn w:val="59"/>
    <w:next w:val="59"/>
    <w:qFormat/>
    <w:uiPriority w:val="0"/>
    <w:pPr>
      <w:numPr>
        <w:ilvl w:val="5"/>
        <w:numId w:val="8"/>
      </w:numPr>
      <w:spacing w:before="50" w:beforeLines="50" w:after="50" w:afterLines="50"/>
      <w:ind w:firstLineChars="0"/>
    </w:pPr>
    <w:rPr>
      <w:rFonts w:ascii="黑体" w:eastAsia="黑体"/>
    </w:rPr>
  </w:style>
  <w:style w:type="paragraph" w:customStyle="1" w:styleId="208">
    <w:name w:val="标准文件_注后"/>
    <w:basedOn w:val="59"/>
    <w:qFormat/>
    <w:uiPriority w:val="0"/>
    <w:pPr>
      <w:ind w:left="811" w:firstLine="0" w:firstLineChars="0"/>
    </w:pPr>
    <w:rPr>
      <w:sz w:val="18"/>
    </w:rPr>
  </w:style>
  <w:style w:type="paragraph" w:customStyle="1" w:styleId="209">
    <w:name w:val="标准文件_注X后"/>
    <w:basedOn w:val="59"/>
    <w:qFormat/>
    <w:uiPriority w:val="0"/>
    <w:pPr>
      <w:ind w:left="811" w:firstLine="0" w:firstLineChars="0"/>
    </w:pPr>
    <w:rPr>
      <w:sz w:val="18"/>
    </w:rPr>
  </w:style>
  <w:style w:type="paragraph" w:customStyle="1" w:styleId="210">
    <w:name w:val="标准文件_示例后"/>
    <w:basedOn w:val="59"/>
    <w:qFormat/>
    <w:uiPriority w:val="0"/>
    <w:pPr>
      <w:ind w:left="964" w:firstLine="0" w:firstLineChars="0"/>
    </w:pPr>
    <w:rPr>
      <w:sz w:val="18"/>
    </w:rPr>
  </w:style>
  <w:style w:type="paragraph" w:customStyle="1" w:styleId="211">
    <w:name w:val="标准文件_示例X后"/>
    <w:basedOn w:val="59"/>
    <w:link w:val="212"/>
    <w:qFormat/>
    <w:uiPriority w:val="0"/>
    <w:pPr>
      <w:ind w:left="1049" w:firstLine="0" w:firstLineChars="0"/>
    </w:pPr>
    <w:rPr>
      <w:sz w:val="18"/>
    </w:rPr>
  </w:style>
  <w:style w:type="character" w:customStyle="1" w:styleId="212">
    <w:name w:val="标准文件_示例X后 字符"/>
    <w:basedOn w:val="187"/>
    <w:link w:val="211"/>
    <w:qFormat/>
    <w:uiPriority w:val="0"/>
    <w:rPr>
      <w:rFonts w:ascii="宋体" w:hAnsi="Times New Roman"/>
      <w:sz w:val="18"/>
    </w:rPr>
  </w:style>
  <w:style w:type="paragraph" w:customStyle="1" w:styleId="213">
    <w:name w:val="标准文件_索引项"/>
    <w:basedOn w:val="59"/>
    <w:next w:val="59"/>
    <w:qFormat/>
    <w:uiPriority w:val="0"/>
    <w:pPr>
      <w:tabs>
        <w:tab w:val="right" w:leader="dot" w:pos="9356"/>
      </w:tabs>
      <w:ind w:left="210" w:hanging="210" w:firstLineChars="0"/>
      <w:jc w:val="left"/>
    </w:pPr>
  </w:style>
  <w:style w:type="paragraph" w:customStyle="1" w:styleId="214">
    <w:name w:val="标准文件_附录一级无标题"/>
    <w:basedOn w:val="81"/>
    <w:qFormat/>
    <w:uiPriority w:val="0"/>
    <w:pPr>
      <w:spacing w:before="0" w:beforeLines="0" w:after="0" w:afterLines="0" w:line="276" w:lineRule="auto"/>
      <w:outlineLvl w:val="9"/>
    </w:pPr>
    <w:rPr>
      <w:rFonts w:ascii="宋体" w:eastAsia="宋体"/>
    </w:rPr>
  </w:style>
  <w:style w:type="paragraph" w:customStyle="1" w:styleId="215">
    <w:name w:val="标准文件_附录二级无标题"/>
    <w:basedOn w:val="82"/>
    <w:qFormat/>
    <w:uiPriority w:val="0"/>
    <w:pPr>
      <w:spacing w:before="0" w:beforeLines="0" w:after="0" w:afterLines="0" w:line="276" w:lineRule="auto"/>
      <w:outlineLvl w:val="9"/>
    </w:pPr>
    <w:rPr>
      <w:rFonts w:ascii="宋体" w:eastAsia="宋体"/>
    </w:rPr>
  </w:style>
  <w:style w:type="paragraph" w:customStyle="1" w:styleId="216">
    <w:name w:val="标准文件_附录三级无标题"/>
    <w:basedOn w:val="84"/>
    <w:qFormat/>
    <w:uiPriority w:val="0"/>
    <w:pPr>
      <w:spacing w:before="0" w:beforeLines="0" w:after="0" w:afterLines="0" w:line="276" w:lineRule="auto"/>
      <w:outlineLvl w:val="9"/>
    </w:pPr>
    <w:rPr>
      <w:rFonts w:ascii="宋体" w:eastAsia="宋体"/>
    </w:rPr>
  </w:style>
  <w:style w:type="paragraph" w:customStyle="1" w:styleId="217">
    <w:name w:val="标准文件_附录四级无标题"/>
    <w:basedOn w:val="85"/>
    <w:qFormat/>
    <w:uiPriority w:val="0"/>
    <w:pPr>
      <w:spacing w:before="0" w:beforeLines="0" w:after="0" w:afterLines="0" w:line="276" w:lineRule="auto"/>
      <w:outlineLvl w:val="9"/>
    </w:pPr>
    <w:rPr>
      <w:rFonts w:ascii="宋体" w:eastAsia="宋体"/>
    </w:rPr>
  </w:style>
  <w:style w:type="paragraph" w:customStyle="1" w:styleId="218">
    <w:name w:val="标准文件_附录五级无标题"/>
    <w:basedOn w:val="87"/>
    <w:qFormat/>
    <w:uiPriority w:val="0"/>
    <w:pPr>
      <w:spacing w:before="0" w:beforeLines="0" w:after="0" w:afterLines="0" w:line="276" w:lineRule="auto"/>
      <w:outlineLvl w:val="9"/>
    </w:pPr>
    <w:rPr>
      <w:rFonts w:ascii="宋体" w:eastAsia="宋体"/>
    </w:rPr>
  </w:style>
  <w:style w:type="paragraph" w:customStyle="1" w:styleId="219">
    <w:name w:val="标准文件_引言一级无标题"/>
    <w:basedOn w:val="203"/>
    <w:next w:val="59"/>
    <w:qFormat/>
    <w:uiPriority w:val="0"/>
    <w:pPr>
      <w:spacing w:before="0" w:beforeLines="0" w:after="0" w:afterLines="0" w:line="276" w:lineRule="auto"/>
    </w:pPr>
    <w:rPr>
      <w:rFonts w:ascii="宋体" w:eastAsia="宋体"/>
    </w:rPr>
  </w:style>
  <w:style w:type="paragraph" w:customStyle="1" w:styleId="220">
    <w:name w:val="标准文件_引言二级无标题"/>
    <w:basedOn w:val="204"/>
    <w:next w:val="59"/>
    <w:qFormat/>
    <w:uiPriority w:val="0"/>
    <w:pPr>
      <w:spacing w:before="0" w:beforeLines="0" w:after="0" w:afterLines="0" w:line="276" w:lineRule="auto"/>
    </w:pPr>
    <w:rPr>
      <w:rFonts w:ascii="宋体" w:eastAsia="宋体"/>
    </w:rPr>
  </w:style>
  <w:style w:type="paragraph" w:customStyle="1" w:styleId="221">
    <w:name w:val="标准文件_引言三级无标题"/>
    <w:basedOn w:val="205"/>
    <w:qFormat/>
    <w:uiPriority w:val="0"/>
    <w:pPr>
      <w:spacing w:before="0" w:beforeLines="0" w:after="0" w:afterLines="0" w:line="276" w:lineRule="auto"/>
    </w:pPr>
    <w:rPr>
      <w:rFonts w:ascii="宋体" w:eastAsia="宋体"/>
    </w:rPr>
  </w:style>
  <w:style w:type="paragraph" w:customStyle="1" w:styleId="222">
    <w:name w:val="标准文件_引言四级无标题"/>
    <w:basedOn w:val="206"/>
    <w:next w:val="59"/>
    <w:qFormat/>
    <w:uiPriority w:val="0"/>
    <w:pPr>
      <w:spacing w:before="0" w:beforeLines="0" w:after="0" w:afterLines="0" w:line="276" w:lineRule="auto"/>
    </w:pPr>
    <w:rPr>
      <w:rFonts w:ascii="宋体" w:eastAsia="宋体"/>
    </w:rPr>
  </w:style>
  <w:style w:type="paragraph" w:customStyle="1" w:styleId="223">
    <w:name w:val="标准文件_引言五级无标题"/>
    <w:basedOn w:val="207"/>
    <w:next w:val="59"/>
    <w:qFormat/>
    <w:uiPriority w:val="0"/>
    <w:pPr>
      <w:spacing w:before="0" w:beforeLines="0" w:after="0" w:afterLines="0" w:line="276" w:lineRule="auto"/>
    </w:pPr>
    <w:rPr>
      <w:rFonts w:ascii="宋体" w:eastAsia="宋体"/>
    </w:rPr>
  </w:style>
  <w:style w:type="paragraph" w:customStyle="1" w:styleId="224">
    <w:name w:val="标准文件_索引标题"/>
    <w:basedOn w:val="66"/>
    <w:next w:val="59"/>
    <w:qFormat/>
    <w:uiPriority w:val="0"/>
    <w:rPr>
      <w:rFonts w:hAnsi="黑体"/>
    </w:rPr>
  </w:style>
  <w:style w:type="paragraph" w:customStyle="1" w:styleId="225">
    <w:name w:val="标准文件_脚注内容"/>
    <w:basedOn w:val="59"/>
    <w:qFormat/>
    <w:uiPriority w:val="0"/>
    <w:pPr>
      <w:ind w:left="400" w:leftChars="200" w:hanging="200" w:hangingChars="200"/>
    </w:pPr>
    <w:rPr>
      <w:sz w:val="15"/>
    </w:rPr>
  </w:style>
  <w:style w:type="paragraph" w:customStyle="1" w:styleId="226">
    <w:name w:val="标准文件_术语条一"/>
    <w:basedOn w:val="165"/>
    <w:next w:val="59"/>
    <w:qFormat/>
    <w:uiPriority w:val="0"/>
  </w:style>
  <w:style w:type="paragraph" w:customStyle="1" w:styleId="227">
    <w:name w:val="标准文件_术语条二"/>
    <w:basedOn w:val="168"/>
    <w:next w:val="59"/>
    <w:qFormat/>
    <w:uiPriority w:val="0"/>
  </w:style>
  <w:style w:type="paragraph" w:customStyle="1" w:styleId="228">
    <w:name w:val="标准文件_术语条三"/>
    <w:basedOn w:val="167"/>
    <w:next w:val="59"/>
    <w:qFormat/>
    <w:uiPriority w:val="0"/>
  </w:style>
  <w:style w:type="paragraph" w:customStyle="1" w:styleId="229">
    <w:name w:val="标准文件_术语条四"/>
    <w:basedOn w:val="170"/>
    <w:next w:val="59"/>
    <w:qFormat/>
    <w:uiPriority w:val="0"/>
  </w:style>
  <w:style w:type="paragraph" w:customStyle="1" w:styleId="230">
    <w:name w:val="标准文件_术语条五"/>
    <w:basedOn w:val="166"/>
    <w:next w:val="59"/>
    <w:qFormat/>
    <w:uiPriority w:val="0"/>
  </w:style>
  <w:style w:type="paragraph" w:customStyle="1" w:styleId="231">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2">
    <w:name w:val="发布"/>
    <w:basedOn w:val="30"/>
    <w:qFormat/>
    <w:uiPriority w:val="0"/>
    <w:rPr>
      <w:rFonts w:ascii="黑体" w:eastAsia="黑体"/>
      <w:spacing w:val="85"/>
      <w:w w:val="100"/>
      <w:position w:val="3"/>
      <w:sz w:val="28"/>
      <w:szCs w:val="28"/>
    </w:rPr>
  </w:style>
  <w:style w:type="table" w:customStyle="1" w:styleId="233">
    <w:name w:val="网格型1"/>
    <w:basedOn w:val="28"/>
    <w:autoRedefine/>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34">
    <w:name w:val="Revision"/>
    <w:hidden/>
    <w:semiHidden/>
    <w:qFormat/>
    <w:uiPriority w:val="99"/>
    <w:rPr>
      <w:rFonts w:ascii="Calibri" w:hAnsi="Calibri" w:eastAsia="宋体" w:cs="Times New Roman"/>
      <w:kern w:val="2"/>
      <w:sz w:val="21"/>
      <w:szCs w:val="21"/>
      <w:lang w:val="en-US" w:eastAsia="zh-CN" w:bidi="ar-SA"/>
    </w:rPr>
  </w:style>
  <w:style w:type="character" w:customStyle="1" w:styleId="235">
    <w:name w:val="批注文字 字符"/>
    <w:basedOn w:val="30"/>
    <w:link w:val="13"/>
    <w:semiHidden/>
    <w:qFormat/>
    <w:uiPriority w:val="99"/>
    <w:rPr>
      <w:kern w:val="2"/>
      <w:sz w:val="21"/>
      <w:szCs w:val="21"/>
    </w:rPr>
  </w:style>
  <w:style w:type="character" w:customStyle="1" w:styleId="236">
    <w:name w:val="批注主题 字符"/>
    <w:basedOn w:val="235"/>
    <w:link w:val="27"/>
    <w:semiHidden/>
    <w:qFormat/>
    <w:uiPriority w:val="99"/>
    <w:rPr>
      <w:b/>
      <w:bCs/>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glossaryDocument" Target="glossary/document.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3.jpeg"/><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0328\StandardEditor\template\&#22242;&#20307;&#26631;&#20934;.dotx" TargetMode="Externa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111CE7D3F9BA4E728362237CDF869B54"/>
        <w:style w:val=""/>
        <w:category>
          <w:name w:val="常规"/>
          <w:gallery w:val="placeholder"/>
        </w:category>
        <w:types>
          <w:type w:val="bbPlcHdr"/>
        </w:types>
        <w:behaviors>
          <w:behavior w:val="content"/>
        </w:behaviors>
        <w:description w:val=""/>
        <w:guid w:val="{9309F28A-DE8A-4368-A0C6-F47B04F73354}"/>
      </w:docPartPr>
      <w:docPartBody>
        <w:p w14:paraId="33B314CB">
          <w:pPr>
            <w:pStyle w:val="5"/>
            <w:rPr>
              <w:rFonts w:hint="eastAsia"/>
            </w:rPr>
          </w:pPr>
          <w:r>
            <w:rPr>
              <w:rStyle w:val="4"/>
              <w:rFonts w:hint="eastAsia"/>
            </w:rPr>
            <w:t>单击或点击此处输入文字。</w:t>
          </w:r>
        </w:p>
      </w:docPartBody>
    </w:docPart>
    <w:docPart>
      <w:docPartPr>
        <w:name w:val="32054C77D1854280AE9EE99BC6E42125"/>
        <w:style w:val=""/>
        <w:category>
          <w:name w:val="常规"/>
          <w:gallery w:val="placeholder"/>
        </w:category>
        <w:types>
          <w:type w:val="bbPlcHdr"/>
        </w:types>
        <w:behaviors>
          <w:behavior w:val="content"/>
        </w:behaviors>
        <w:description w:val=""/>
        <w:guid w:val="{D5ADABD5-BF5E-4E72-BD19-4C484E2BB5B8}"/>
      </w:docPartPr>
      <w:docPartBody>
        <w:p w14:paraId="7ED37B7D">
          <w:pPr>
            <w:pStyle w:val="6"/>
            <w:rPr>
              <w:rFonts w:hint="eastAsia"/>
            </w:rPr>
          </w:pPr>
          <w:r>
            <w:rPr>
              <w:rStyle w:val="4"/>
              <w:rFonts w:hint="eastAsia"/>
            </w:rPr>
            <w:t>选择一项。</w:t>
          </w:r>
        </w:p>
      </w:docPartBody>
    </w:docPart>
    <w:docPart>
      <w:docPartPr>
        <w:name w:val="059CBDABBE7E47ACA1CDC7C0589E0402"/>
        <w:style w:val=""/>
        <w:category>
          <w:name w:val="常规"/>
          <w:gallery w:val="placeholder"/>
        </w:category>
        <w:types>
          <w:type w:val="bbPlcHdr"/>
        </w:types>
        <w:behaviors>
          <w:behavior w:val="content"/>
        </w:behaviors>
        <w:description w:val=""/>
        <w:guid w:val="{6BED6393-E383-49BC-8777-8BE8CF4166E8}"/>
      </w:docPartPr>
      <w:docPartBody>
        <w:p w14:paraId="21EBE1CE">
          <w:pPr>
            <w:pStyle w:val="7"/>
            <w:rPr>
              <w:rFonts w:hint="eastAsia"/>
            </w:rPr>
          </w:pPr>
          <w:r>
            <w:rPr>
              <w:rStyle w:val="4"/>
              <w:rFonts w:hint="eastAsia"/>
            </w:rPr>
            <w:t>选择一项。</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A74"/>
    <w:rsid w:val="00007E3C"/>
    <w:rsid w:val="00054514"/>
    <w:rsid w:val="0016668F"/>
    <w:rsid w:val="0020185D"/>
    <w:rsid w:val="00205603"/>
    <w:rsid w:val="00240755"/>
    <w:rsid w:val="00261544"/>
    <w:rsid w:val="00267697"/>
    <w:rsid w:val="002D78AA"/>
    <w:rsid w:val="002E2B8B"/>
    <w:rsid w:val="002E484B"/>
    <w:rsid w:val="0030510E"/>
    <w:rsid w:val="00306AB7"/>
    <w:rsid w:val="00363B05"/>
    <w:rsid w:val="0037328F"/>
    <w:rsid w:val="004123D1"/>
    <w:rsid w:val="004E7B24"/>
    <w:rsid w:val="00553B7E"/>
    <w:rsid w:val="00564CA0"/>
    <w:rsid w:val="00592BD7"/>
    <w:rsid w:val="00624E02"/>
    <w:rsid w:val="00680B6D"/>
    <w:rsid w:val="00706058"/>
    <w:rsid w:val="00720034"/>
    <w:rsid w:val="007561BD"/>
    <w:rsid w:val="0075723B"/>
    <w:rsid w:val="007B6F57"/>
    <w:rsid w:val="00835340"/>
    <w:rsid w:val="00870644"/>
    <w:rsid w:val="008C3950"/>
    <w:rsid w:val="00932C8F"/>
    <w:rsid w:val="009A02C2"/>
    <w:rsid w:val="00AB2114"/>
    <w:rsid w:val="00AC2138"/>
    <w:rsid w:val="00AF452C"/>
    <w:rsid w:val="00B171D4"/>
    <w:rsid w:val="00B34A64"/>
    <w:rsid w:val="00BD57B1"/>
    <w:rsid w:val="00BD5A8B"/>
    <w:rsid w:val="00CD74F5"/>
    <w:rsid w:val="00CD7E5A"/>
    <w:rsid w:val="00CE78B9"/>
    <w:rsid w:val="00E455E9"/>
    <w:rsid w:val="00E91487"/>
    <w:rsid w:val="00EA3299"/>
    <w:rsid w:val="00EA402A"/>
    <w:rsid w:val="00FB1A74"/>
    <w:rsid w:val="00FE70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unhideWhenUsed="0" w:uiPriority="99" w:name="Placeholder Text"/>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111CE7D3F9BA4E728362237CDF869B54"/>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
    <w:name w:val="32054C77D1854280AE9EE99BC6E42125"/>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7">
    <w:name w:val="059CBDABBE7E47ACA1CDC7C0589E0402"/>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10</Pages>
  <Words>5776</Words>
  <Characters>6367</Characters>
  <Lines>234</Lines>
  <Paragraphs>248</Paragraphs>
  <TotalTime>2373</TotalTime>
  <ScaleCrop>false</ScaleCrop>
  <LinksUpToDate>false</LinksUpToDate>
  <CharactersWithSpaces>6531</CharactersWithSpaces>
  <Application>WPS Office_12.1.0.17468_F1E327BC-269C-435d-A152-05C5408002CA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2025-09-03T03:49:00Z</dcterms:created>
  <dc:creator>S G</dc:creator>
  <cp:lastModifiedBy>李玉涛</cp:lastModifiedBy>
  <cp:lastPrinted>2026-01-16T00:09:00Z</cp:lastPrinted>
  <dcterms:modified xsi:type="dcterms:W3CDTF">2026-05-28T07:26:59Z</dcterms:modified>
  <dc:title>团体标准</dc:title>
  <cp:revision>247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2052-12.1.0.17468</vt:lpwstr>
  </property>
  <property fmtid="{D5CDD505-2E9C-101B-9397-08002B2CF9AE}" pid="15" name="ICV">
    <vt:lpwstr>834D449BA6E0481E832C8C1C04D5DC32_12</vt:lpwstr>
  </property>
</Properties>
</file>