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pacing w:line="240" w:lineRule="auto"/>
        <w:ind w:left="1200" w:leftChars="600" w:right="1106" w:rightChars="553" w:firstLine="3" w:firstLineChars="0"/>
        <w:jc w:val="center"/>
        <w:textAlignment w:val="auto"/>
        <w:rPr>
          <w:rFonts w:hint="default" w:ascii="宋体" w:hAnsi="宋体" w:cs="宋体"/>
          <w:b/>
          <w:bCs/>
          <w:color w:val="auto"/>
          <w:sz w:val="28"/>
          <w:szCs w:val="28"/>
          <w:highlight w:val="none"/>
          <w:u w:val="none"/>
          <w:lang w:val="en-US"/>
        </w:rPr>
      </w:pPr>
      <w:bookmarkStart w:id="0" w:name="_Toc435514843"/>
      <w:bookmarkStart w:id="1" w:name="_Toc435115052"/>
      <w:r>
        <w:rPr>
          <w:rFonts w:hint="eastAsia" w:ascii="宋体" w:hAnsi="宋体" w:cs="仿宋_GB2312"/>
          <w:b/>
          <w:bCs/>
          <w:color w:val="auto"/>
          <w:kern w:val="2"/>
          <w:sz w:val="28"/>
          <w:szCs w:val="28"/>
          <w:highlight w:val="none"/>
          <w:u w:val="none"/>
          <w:lang w:eastAsia="zh-CN"/>
        </w:rPr>
        <w:t>山东省消防救援总队鲁中区域灭火与应急救援中心车辆装备采购（</w:t>
      </w:r>
      <w:r>
        <w:rPr>
          <w:rFonts w:hint="eastAsia" w:ascii="宋体" w:hAnsi="宋体" w:cs="仿宋_GB2312"/>
          <w:b/>
          <w:bCs/>
          <w:color w:val="auto"/>
          <w:kern w:val="2"/>
          <w:sz w:val="28"/>
          <w:szCs w:val="28"/>
          <w:highlight w:val="none"/>
          <w:u w:val="none"/>
          <w:lang w:val="en-US" w:eastAsia="zh-CN"/>
        </w:rPr>
        <w:t>三次</w:t>
      </w:r>
      <w:r>
        <w:rPr>
          <w:rFonts w:hint="eastAsia" w:ascii="宋体" w:hAnsi="宋体" w:cs="仿宋_GB2312"/>
          <w:b/>
          <w:bCs/>
          <w:color w:val="auto"/>
          <w:kern w:val="2"/>
          <w:sz w:val="28"/>
          <w:szCs w:val="28"/>
          <w:highlight w:val="none"/>
          <w:u w:val="none"/>
          <w:lang w:eastAsia="zh-CN"/>
        </w:rPr>
        <w:t>）</w:t>
      </w:r>
      <w:r>
        <w:rPr>
          <w:rFonts w:hint="eastAsia" w:ascii="宋体" w:hAnsi="宋体" w:cs="仿宋_GB2312"/>
          <w:b/>
          <w:bCs/>
          <w:color w:val="auto"/>
          <w:kern w:val="2"/>
          <w:sz w:val="28"/>
          <w:szCs w:val="28"/>
          <w:highlight w:val="none"/>
          <w:u w:val="none"/>
          <w:lang w:val="en-US" w:eastAsia="zh-CN"/>
        </w:rPr>
        <w:t>招标公告</w:t>
      </w:r>
    </w:p>
    <w:p>
      <w:pPr>
        <w:widowControl/>
        <w:adjustRightInd/>
        <w:spacing w:line="240" w:lineRule="auto"/>
        <w:jc w:val="left"/>
        <w:textAlignment w:val="auto"/>
        <w:rPr>
          <w:rFonts w:ascii="宋体" w:hAnsi="宋体" w:cs="宋体"/>
          <w:b/>
          <w:bCs/>
          <w:color w:val="auto"/>
          <w:sz w:val="24"/>
          <w:highlight w:val="none"/>
        </w:rPr>
      </w:pPr>
    </w:p>
    <w:p>
      <w:pPr>
        <w:widowControl/>
        <w:adjustRightInd/>
        <w:spacing w:line="240" w:lineRule="auto"/>
        <w:jc w:val="left"/>
        <w:textAlignment w:val="auto"/>
        <w:rPr>
          <w:rFonts w:ascii="宋体" w:hAnsi="宋体" w:cs="宋体"/>
          <w:b/>
          <w:bCs/>
          <w:color w:val="auto"/>
          <w:sz w:val="24"/>
          <w:highlight w:val="none"/>
        </w:rPr>
      </w:pPr>
      <w:r>
        <w:rPr>
          <w:rFonts w:ascii="宋体" w:hAnsi="宋体" w:cs="宋体"/>
          <w:b/>
          <w:bCs/>
          <w:color w:val="auto"/>
          <w:sz w:val="24"/>
          <w:highlight w:val="none"/>
        </w:rPr>
        <w:t>项目概况</w:t>
      </w:r>
    </w:p>
    <w:p>
      <w:pPr>
        <w:widowControl/>
        <w:wordWrap w:val="0"/>
        <w:adjustRightInd/>
        <w:spacing w:line="360" w:lineRule="auto"/>
        <w:ind w:firstLine="480" w:firstLineChars="200"/>
        <w:jc w:val="left"/>
        <w:textAlignment w:val="auto"/>
        <w:rPr>
          <w:rFonts w:ascii="宋体" w:hAnsi="宋体" w:cs="宋体"/>
          <w:color w:val="auto"/>
          <w:sz w:val="24"/>
          <w:highlight w:val="none"/>
        </w:rPr>
      </w:pPr>
      <w:r>
        <w:rPr>
          <w:rFonts w:hint="eastAsia" w:ascii="宋体" w:hAnsi="宋体" w:cs="仿宋_GB2312"/>
          <w:color w:val="auto"/>
          <w:kern w:val="2"/>
          <w:sz w:val="24"/>
          <w:highlight w:val="none"/>
          <w:u w:val="single"/>
          <w:lang w:eastAsia="zh-CN"/>
        </w:rPr>
        <w:t>山东省消防救援总队鲁中区域灭火与应急救援中心车辆装备采购</w:t>
      </w:r>
      <w:r>
        <w:rPr>
          <w:rFonts w:ascii="宋体" w:hAnsi="宋体" w:cs="宋体"/>
          <w:bCs/>
          <w:color w:val="auto"/>
          <w:sz w:val="24"/>
          <w:highlight w:val="none"/>
        </w:rPr>
        <w:t>招标项目的潜在投标人应在</w:t>
      </w:r>
      <w:r>
        <w:rPr>
          <w:rFonts w:hint="eastAsia" w:ascii="宋体" w:hAnsi="宋体" w:cs="宋体"/>
          <w:color w:val="auto"/>
          <w:sz w:val="24"/>
          <w:highlight w:val="none"/>
          <w:u w:val="single"/>
          <w:lang w:eastAsia="zh-CN"/>
        </w:rPr>
        <w:t>山东省济南市高新区天辰路2177号联合财富广场2号楼3楼开标室</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eastAsia="zh-CN"/>
        </w:rPr>
        <w:t>2022年2月10日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rPr>
        <w:t>点</w:t>
      </w:r>
      <w:r>
        <w:rPr>
          <w:rFonts w:hint="default" w:ascii="宋体" w:hAnsi="宋体" w:cs="宋体"/>
          <w:bCs/>
          <w:color w:val="auto"/>
          <w:sz w:val="24"/>
          <w:highlight w:val="none"/>
          <w:u w:val="single"/>
          <w:lang w:eastAsia="zh-CN"/>
        </w:rPr>
        <w:t>3</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rPr>
        <w:t>分（北京时间）前递交投标</w:t>
      </w:r>
      <w:r>
        <w:rPr>
          <w:rFonts w:ascii="宋体" w:hAnsi="宋体" w:cs="宋体"/>
          <w:bCs/>
          <w:color w:val="auto"/>
          <w:sz w:val="24"/>
          <w:highlight w:val="none"/>
        </w:rPr>
        <w:t>文件</w:t>
      </w:r>
      <w:r>
        <w:rPr>
          <w:rFonts w:hint="eastAsia" w:ascii="宋体" w:hAnsi="宋体" w:cs="宋体"/>
          <w:color w:val="auto"/>
          <w:sz w:val="24"/>
          <w:highlight w:val="none"/>
        </w:rPr>
        <w:t>。</w:t>
      </w:r>
    </w:p>
    <w:p>
      <w:pPr>
        <w:widowControl/>
        <w:adjustRightInd/>
        <w:spacing w:line="240" w:lineRule="auto"/>
        <w:jc w:val="center"/>
        <w:textAlignment w:val="auto"/>
        <w:rPr>
          <w:rFonts w:ascii="微软雅黑" w:hAnsi="微软雅黑" w:eastAsia="微软雅黑" w:cs="宋体"/>
          <w:color w:val="auto"/>
          <w:sz w:val="18"/>
          <w:szCs w:val="18"/>
          <w:highlight w:val="none"/>
        </w:rPr>
      </w:pPr>
    </w:p>
    <w:p>
      <w:pPr>
        <w:numPr>
          <w:ilvl w:val="0"/>
          <w:numId w:val="1"/>
        </w:numPr>
        <w:adjustRightInd/>
        <w:snapToGrid w:val="0"/>
        <w:spacing w:line="360" w:lineRule="auto"/>
        <w:textAlignment w:val="auto"/>
        <w:rPr>
          <w:rFonts w:ascii="宋体" w:hAnsi="宋体" w:cs="仿宋_GB2312"/>
          <w:b/>
          <w:bCs/>
          <w:color w:val="auto"/>
          <w:kern w:val="2"/>
          <w:sz w:val="24"/>
          <w:highlight w:val="none"/>
        </w:rPr>
      </w:pPr>
      <w:r>
        <w:rPr>
          <w:rFonts w:hint="eastAsia" w:ascii="宋体" w:hAnsi="宋体" w:cs="仿宋_GB2312"/>
          <w:b/>
          <w:bCs/>
          <w:color w:val="auto"/>
          <w:kern w:val="2"/>
          <w:sz w:val="24"/>
          <w:highlight w:val="none"/>
        </w:rPr>
        <w:t>项目基本情况</w:t>
      </w:r>
    </w:p>
    <w:p>
      <w:pPr>
        <w:adjustRightInd/>
        <w:snapToGrid w:val="0"/>
        <w:spacing w:line="360" w:lineRule="auto"/>
        <w:textAlignment w:val="auto"/>
        <w:rPr>
          <w:rFonts w:hint="eastAsia" w:ascii="宋体" w:hAnsi="宋体" w:eastAsia="宋体" w:cs="仿宋_GB2312"/>
          <w:color w:val="auto"/>
          <w:kern w:val="2"/>
          <w:sz w:val="24"/>
          <w:highlight w:val="none"/>
          <w:u w:val="single"/>
          <w:shd w:val="clear" w:color="auto" w:fill="F0F9FF"/>
          <w:lang w:eastAsia="zh-CN"/>
        </w:rPr>
      </w:pPr>
      <w:r>
        <w:rPr>
          <w:rFonts w:hint="eastAsia" w:ascii="宋体" w:hAnsi="宋体" w:cs="仿宋_GB2312"/>
          <w:color w:val="auto"/>
          <w:kern w:val="2"/>
          <w:sz w:val="24"/>
          <w:highlight w:val="none"/>
        </w:rPr>
        <w:t>项目编号：</w:t>
      </w:r>
      <w:r>
        <w:rPr>
          <w:rFonts w:hint="eastAsia" w:ascii="宋体" w:hAnsi="宋体" w:cs="仿宋_GB2312"/>
          <w:color w:val="auto"/>
          <w:kern w:val="2"/>
          <w:sz w:val="24"/>
          <w:highlight w:val="none"/>
          <w:u w:val="single"/>
          <w:lang w:eastAsia="zh-CN"/>
        </w:rPr>
        <w:t>CLF0221BJ01ZC46</w:t>
      </w:r>
    </w:p>
    <w:p>
      <w:pPr>
        <w:adjustRightInd/>
        <w:snapToGrid w:val="0"/>
        <w:spacing w:line="360" w:lineRule="auto"/>
        <w:textAlignment w:val="auto"/>
        <w:rPr>
          <w:rFonts w:hint="eastAsia" w:ascii="宋体" w:hAnsi="宋体" w:eastAsia="宋体" w:cs="仿宋_GB2312"/>
          <w:color w:val="auto"/>
          <w:kern w:val="2"/>
          <w:sz w:val="24"/>
          <w:highlight w:val="none"/>
          <w:lang w:val="en-US" w:eastAsia="zh-CN"/>
        </w:rPr>
      </w:pPr>
      <w:r>
        <w:rPr>
          <w:rFonts w:hint="eastAsia" w:ascii="宋体" w:hAnsi="宋体" w:cs="仿宋_GB2312"/>
          <w:color w:val="auto"/>
          <w:kern w:val="2"/>
          <w:sz w:val="24"/>
          <w:highlight w:val="none"/>
        </w:rPr>
        <w:t>项目名称：</w:t>
      </w:r>
      <w:r>
        <w:rPr>
          <w:rFonts w:hint="eastAsia" w:ascii="宋体" w:hAnsi="宋体" w:cs="仿宋_GB2312"/>
          <w:color w:val="auto"/>
          <w:kern w:val="2"/>
          <w:sz w:val="24"/>
          <w:highlight w:val="none"/>
          <w:u w:val="single"/>
          <w:lang w:eastAsia="zh-CN"/>
        </w:rPr>
        <w:t>山东省消防救援总队鲁中区域灭火与应急救援中心车辆装备采购</w:t>
      </w:r>
    </w:p>
    <w:p>
      <w:pPr>
        <w:adjustRightInd/>
        <w:snapToGrid w:val="0"/>
        <w:spacing w:line="360" w:lineRule="auto"/>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预算金额（元）：</w:t>
      </w:r>
      <w:r>
        <w:rPr>
          <w:rFonts w:hint="eastAsia" w:ascii="宋体" w:hAnsi="宋体" w:cs="仿宋_GB2312"/>
          <w:color w:val="auto"/>
          <w:kern w:val="2"/>
          <w:sz w:val="24"/>
          <w:highlight w:val="none"/>
          <w:u w:val="single"/>
          <w:lang w:val="en-US" w:eastAsia="zh-CN"/>
        </w:rPr>
        <w:t>2,14</w:t>
      </w:r>
      <w:r>
        <w:rPr>
          <w:rFonts w:hint="eastAsia" w:ascii="宋体" w:hAnsi="宋体" w:cs="仿宋_GB2312"/>
          <w:color w:val="auto"/>
          <w:kern w:val="2"/>
          <w:sz w:val="24"/>
          <w:highlight w:val="none"/>
          <w:u w:val="single"/>
        </w:rPr>
        <w:t>0</w:t>
      </w:r>
      <w:r>
        <w:rPr>
          <w:rFonts w:hint="eastAsia" w:ascii="宋体" w:hAnsi="宋体" w:cs="仿宋_GB2312"/>
          <w:color w:val="auto"/>
          <w:kern w:val="2"/>
          <w:sz w:val="24"/>
          <w:highlight w:val="none"/>
          <w:u w:val="single"/>
          <w:lang w:val="en-US" w:eastAsia="zh-CN"/>
        </w:rPr>
        <w:t>,</w:t>
      </w:r>
      <w:r>
        <w:rPr>
          <w:rFonts w:hint="eastAsia" w:ascii="宋体" w:hAnsi="宋体" w:cs="仿宋_GB2312"/>
          <w:color w:val="auto"/>
          <w:kern w:val="2"/>
          <w:sz w:val="24"/>
          <w:highlight w:val="none"/>
          <w:u w:val="single"/>
        </w:rPr>
        <w:t>000.00</w:t>
      </w:r>
    </w:p>
    <w:p>
      <w:pPr>
        <w:adjustRightInd/>
        <w:snapToGrid w:val="0"/>
        <w:spacing w:line="360" w:lineRule="auto"/>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最高限价（如有）：</w:t>
      </w:r>
      <w:r>
        <w:rPr>
          <w:rFonts w:hint="eastAsia" w:ascii="宋体" w:hAnsi="宋体"/>
          <w:color w:val="auto"/>
          <w:kern w:val="2"/>
          <w:sz w:val="24"/>
          <w:highlight w:val="none"/>
          <w:u w:val="single"/>
        </w:rPr>
        <w:t>/</w:t>
      </w:r>
    </w:p>
    <w:p>
      <w:pPr>
        <w:adjustRightInd/>
        <w:snapToGrid w:val="0"/>
        <w:spacing w:line="360" w:lineRule="auto"/>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采购需求：</w:t>
      </w:r>
    </w:p>
    <w:p>
      <w:pPr>
        <w:numPr>
          <w:ilvl w:val="0"/>
          <w:numId w:val="2"/>
        </w:numPr>
        <w:adjustRightInd/>
        <w:snapToGrid w:val="0"/>
        <w:spacing w:line="360" w:lineRule="auto"/>
        <w:textAlignment w:val="auto"/>
        <w:rPr>
          <w:rFonts w:ascii="宋体" w:hAnsi="宋体"/>
          <w:i/>
          <w:iCs/>
          <w:color w:val="auto"/>
          <w:kern w:val="2"/>
          <w:sz w:val="24"/>
          <w:highlight w:val="none"/>
          <w:u w:val="single"/>
          <w:shd w:val="pct10" w:color="auto" w:fill="FFFFFF"/>
        </w:rPr>
      </w:pPr>
      <w:r>
        <w:rPr>
          <w:rFonts w:hint="eastAsia" w:ascii="宋体" w:hAnsi="宋体" w:cs="仿宋_GB2312"/>
          <w:color w:val="auto"/>
          <w:kern w:val="2"/>
          <w:sz w:val="24"/>
          <w:highlight w:val="none"/>
        </w:rPr>
        <w:t>标的名称：包组1：供液消防车；包组</w:t>
      </w:r>
      <w:r>
        <w:rPr>
          <w:rFonts w:hint="eastAsia" w:ascii="宋体" w:hAnsi="宋体" w:cs="仿宋_GB2312"/>
          <w:color w:val="auto"/>
          <w:kern w:val="2"/>
          <w:sz w:val="24"/>
          <w:highlight w:val="none"/>
          <w:lang w:val="en-US" w:eastAsia="zh-CN"/>
        </w:rPr>
        <w:t>2</w:t>
      </w:r>
      <w:r>
        <w:rPr>
          <w:rFonts w:hint="eastAsia" w:ascii="宋体" w:hAnsi="宋体" w:cs="仿宋_GB2312"/>
          <w:color w:val="auto"/>
          <w:kern w:val="2"/>
          <w:sz w:val="24"/>
          <w:highlight w:val="none"/>
        </w:rPr>
        <w:t>：手持式中倍数泡沫枪</w:t>
      </w:r>
      <w:r>
        <w:rPr>
          <w:rFonts w:hint="eastAsia" w:ascii="宋体" w:hAnsi="宋体" w:cs="仿宋_GB2312"/>
          <w:color w:val="auto"/>
          <w:kern w:val="2"/>
          <w:sz w:val="24"/>
          <w:highlight w:val="none"/>
          <w:lang w:val="en-US" w:eastAsia="zh-CN"/>
        </w:rPr>
        <w:t>及</w:t>
      </w:r>
      <w:r>
        <w:rPr>
          <w:rFonts w:hint="eastAsia" w:ascii="宋体" w:hAnsi="宋体" w:cs="仿宋_GB2312"/>
          <w:color w:val="auto"/>
          <w:kern w:val="2"/>
          <w:sz w:val="24"/>
          <w:highlight w:val="none"/>
        </w:rPr>
        <w:t>移动式中倍数泡沫炮</w:t>
      </w:r>
      <w:r>
        <w:rPr>
          <w:rFonts w:hint="eastAsia" w:ascii="宋体" w:hAnsi="宋体" w:cs="仿宋_GB2312"/>
          <w:color w:val="auto"/>
          <w:kern w:val="2"/>
          <w:sz w:val="24"/>
          <w:highlight w:val="none"/>
          <w:lang w:val="en-US" w:eastAsia="zh-CN"/>
        </w:rPr>
        <w:t>等装备</w:t>
      </w:r>
    </w:p>
    <w:p>
      <w:pPr>
        <w:numPr>
          <w:ilvl w:val="0"/>
          <w:numId w:val="2"/>
        </w:numPr>
        <w:adjustRightInd/>
        <w:snapToGrid w:val="0"/>
        <w:spacing w:line="360" w:lineRule="auto"/>
        <w:textAlignment w:val="auto"/>
        <w:rPr>
          <w:rFonts w:ascii="宋体" w:hAnsi="宋体"/>
          <w:i/>
          <w:iCs/>
          <w:color w:val="auto"/>
          <w:kern w:val="2"/>
          <w:sz w:val="24"/>
          <w:highlight w:val="none"/>
          <w:u w:val="single"/>
          <w:shd w:val="pct10" w:color="auto" w:fill="FFFFFF"/>
        </w:rPr>
      </w:pPr>
      <w:r>
        <w:rPr>
          <w:rFonts w:hint="eastAsia" w:ascii="宋体" w:hAnsi="宋体" w:cs="仿宋_GB2312"/>
          <w:color w:val="auto"/>
          <w:kern w:val="2"/>
          <w:sz w:val="24"/>
          <w:highlight w:val="none"/>
        </w:rPr>
        <w:t>标的数量：</w:t>
      </w:r>
      <w:r>
        <w:rPr>
          <w:rFonts w:hint="eastAsia" w:ascii="宋体"/>
          <w:bCs/>
          <w:color w:val="auto"/>
          <w:sz w:val="24"/>
          <w:highlight w:val="none"/>
        </w:rPr>
        <w:t>包组</w:t>
      </w:r>
      <w:r>
        <w:rPr>
          <w:rFonts w:hint="eastAsia" w:ascii="宋体"/>
          <w:bCs/>
          <w:color w:val="auto"/>
          <w:sz w:val="24"/>
          <w:highlight w:val="none"/>
          <w:lang w:val="en-US" w:eastAsia="zh-CN"/>
        </w:rPr>
        <w:t>1</w:t>
      </w:r>
      <w:r>
        <w:rPr>
          <w:rFonts w:hint="eastAsia" w:ascii="宋体"/>
          <w:bCs/>
          <w:color w:val="auto"/>
          <w:sz w:val="24"/>
          <w:highlight w:val="none"/>
        </w:rPr>
        <w:t>：1台；包组</w:t>
      </w:r>
      <w:r>
        <w:rPr>
          <w:rFonts w:hint="eastAsia" w:ascii="宋体"/>
          <w:bCs/>
          <w:color w:val="auto"/>
          <w:sz w:val="24"/>
          <w:highlight w:val="none"/>
          <w:lang w:val="en-US" w:eastAsia="zh-CN"/>
        </w:rPr>
        <w:t>2</w:t>
      </w:r>
      <w:r>
        <w:rPr>
          <w:rFonts w:hint="eastAsia" w:ascii="宋体"/>
          <w:bCs/>
          <w:color w:val="auto"/>
          <w:sz w:val="24"/>
          <w:highlight w:val="none"/>
        </w:rPr>
        <w:t>：1套</w:t>
      </w:r>
    </w:p>
    <w:p>
      <w:pPr>
        <w:numPr>
          <w:ilvl w:val="0"/>
          <w:numId w:val="2"/>
        </w:numPr>
        <w:adjustRightInd/>
        <w:snapToGrid w:val="0"/>
        <w:spacing w:line="360" w:lineRule="auto"/>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简要技术需求或服务要求：</w:t>
      </w:r>
    </w:p>
    <w:p>
      <w:pPr>
        <w:numPr>
          <w:ilvl w:val="0"/>
          <w:numId w:val="3"/>
        </w:numPr>
        <w:adjustRightInd/>
        <w:snapToGrid w:val="0"/>
        <w:spacing w:line="360" w:lineRule="auto"/>
        <w:ind w:left="851" w:hanging="709"/>
        <w:textAlignment w:val="auto"/>
        <w:rPr>
          <w:rFonts w:ascii="宋体" w:hAnsi="宋体" w:cs="仿宋_GB2312"/>
          <w:color w:val="auto"/>
          <w:kern w:val="2"/>
          <w:sz w:val="24"/>
          <w:highlight w:val="none"/>
          <w:u w:val="single"/>
        </w:rPr>
      </w:pPr>
      <w:bookmarkStart w:id="2" w:name="_Hlk40969746"/>
      <w:r>
        <w:rPr>
          <w:rFonts w:hint="eastAsia" w:ascii="宋体" w:hAnsi="宋体" w:cs="仿宋_GB2312"/>
          <w:color w:val="auto"/>
          <w:kern w:val="2"/>
          <w:sz w:val="24"/>
          <w:highlight w:val="none"/>
        </w:rPr>
        <w:t>项目编号:</w:t>
      </w:r>
      <w:bookmarkEnd w:id="2"/>
      <w:r>
        <w:rPr>
          <w:rFonts w:hint="eastAsia" w:ascii="宋体" w:hAnsi="宋体" w:cs="仿宋_GB2312"/>
          <w:color w:val="auto"/>
          <w:kern w:val="2"/>
          <w:sz w:val="24"/>
          <w:highlight w:val="none"/>
          <w:u w:val="single"/>
          <w:lang w:eastAsia="zh-CN"/>
        </w:rPr>
        <w:t>CLF0221BJ01ZC46</w:t>
      </w:r>
    </w:p>
    <w:p>
      <w:pPr>
        <w:numPr>
          <w:ilvl w:val="0"/>
          <w:numId w:val="3"/>
        </w:numPr>
        <w:adjustRightInd/>
        <w:snapToGrid w:val="0"/>
        <w:spacing w:line="360" w:lineRule="auto"/>
        <w:ind w:left="851" w:hanging="709"/>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标的内容一览表</w:t>
      </w:r>
    </w:p>
    <w:tbl>
      <w:tblPr>
        <w:tblStyle w:val="6"/>
        <w:tblW w:w="938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01"/>
        <w:gridCol w:w="2976"/>
        <w:gridCol w:w="1924"/>
        <w:gridCol w:w="338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1101" w:type="dxa"/>
            <w:tcBorders>
              <w:tl2br w:val="nil"/>
              <w:tr2bl w:val="nil"/>
            </w:tcBorders>
            <w:noWrap w:val="0"/>
            <w:vAlign w:val="center"/>
          </w:tcPr>
          <w:p>
            <w:pPr>
              <w:adjustRightInd/>
              <w:snapToGrid w:val="0"/>
              <w:spacing w:line="240" w:lineRule="auto"/>
              <w:jc w:val="center"/>
              <w:textAlignment w:val="auto"/>
              <w:rPr>
                <w:color w:val="auto"/>
                <w:sz w:val="24"/>
                <w:highlight w:val="none"/>
              </w:rPr>
            </w:pPr>
            <w:r>
              <w:rPr>
                <w:rFonts w:hint="eastAsia"/>
                <w:color w:val="auto"/>
                <w:sz w:val="24"/>
                <w:highlight w:val="none"/>
              </w:rPr>
              <w:t>包组号</w:t>
            </w:r>
          </w:p>
        </w:tc>
        <w:tc>
          <w:tcPr>
            <w:tcW w:w="2976" w:type="dxa"/>
            <w:tcBorders>
              <w:tl2br w:val="nil"/>
              <w:tr2bl w:val="nil"/>
            </w:tcBorders>
            <w:noWrap w:val="0"/>
            <w:vAlign w:val="center"/>
          </w:tcPr>
          <w:p>
            <w:pPr>
              <w:adjustRightInd/>
              <w:snapToGrid w:val="0"/>
              <w:spacing w:line="240" w:lineRule="auto"/>
              <w:jc w:val="center"/>
              <w:textAlignment w:val="auto"/>
              <w:rPr>
                <w:color w:val="auto"/>
                <w:sz w:val="24"/>
                <w:highlight w:val="none"/>
              </w:rPr>
            </w:pPr>
            <w:r>
              <w:rPr>
                <w:rFonts w:hint="eastAsia"/>
                <w:color w:val="auto"/>
                <w:sz w:val="24"/>
                <w:highlight w:val="none"/>
              </w:rPr>
              <w:t>标的名称</w:t>
            </w:r>
          </w:p>
        </w:tc>
        <w:tc>
          <w:tcPr>
            <w:tcW w:w="1924" w:type="dxa"/>
            <w:tcBorders>
              <w:tl2br w:val="nil"/>
              <w:tr2bl w:val="nil"/>
            </w:tcBorders>
            <w:noWrap w:val="0"/>
            <w:vAlign w:val="center"/>
          </w:tcPr>
          <w:p>
            <w:pPr>
              <w:adjustRightInd/>
              <w:snapToGrid w:val="0"/>
              <w:spacing w:line="240" w:lineRule="auto"/>
              <w:jc w:val="center"/>
              <w:textAlignment w:val="auto"/>
              <w:rPr>
                <w:color w:val="auto"/>
                <w:sz w:val="24"/>
                <w:highlight w:val="none"/>
              </w:rPr>
            </w:pPr>
            <w:r>
              <w:rPr>
                <w:rFonts w:hint="eastAsia"/>
                <w:color w:val="auto"/>
                <w:sz w:val="24"/>
                <w:highlight w:val="none"/>
              </w:rPr>
              <w:t>数量</w:t>
            </w:r>
          </w:p>
        </w:tc>
        <w:tc>
          <w:tcPr>
            <w:tcW w:w="3384" w:type="dxa"/>
            <w:tcBorders>
              <w:tl2br w:val="nil"/>
              <w:tr2bl w:val="nil"/>
            </w:tcBorders>
            <w:noWrap w:val="0"/>
            <w:vAlign w:val="center"/>
          </w:tcPr>
          <w:p>
            <w:pPr>
              <w:adjustRightInd/>
              <w:snapToGrid w:val="0"/>
              <w:spacing w:line="240" w:lineRule="auto"/>
              <w:jc w:val="center"/>
              <w:textAlignment w:val="auto"/>
              <w:rPr>
                <w:color w:val="auto"/>
                <w:sz w:val="24"/>
                <w:highlight w:val="none"/>
              </w:rPr>
            </w:pPr>
            <w:r>
              <w:rPr>
                <w:rFonts w:hint="eastAsia"/>
                <w:color w:val="auto"/>
                <w:sz w:val="24"/>
                <w:highlight w:val="none"/>
              </w:rPr>
              <w:t>最高限价（人民币 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2" w:hRule="atLeast"/>
          <w:jc w:val="center"/>
        </w:trPr>
        <w:tc>
          <w:tcPr>
            <w:tcW w:w="1101" w:type="dxa"/>
            <w:tcBorders>
              <w:tl2br w:val="nil"/>
              <w:tr2bl w:val="nil"/>
            </w:tcBorders>
            <w:noWrap w:val="0"/>
            <w:vAlign w:val="center"/>
          </w:tcPr>
          <w:p>
            <w:pPr>
              <w:adjustRightInd/>
              <w:snapToGrid w:val="0"/>
              <w:spacing w:line="240" w:lineRule="auto"/>
              <w:jc w:val="center"/>
              <w:textAlignment w:val="auto"/>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p>
        </w:tc>
        <w:tc>
          <w:tcPr>
            <w:tcW w:w="2976" w:type="dxa"/>
            <w:tcBorders>
              <w:tl2br w:val="nil"/>
              <w:tr2bl w:val="nil"/>
            </w:tcBorders>
            <w:noWrap w:val="0"/>
            <w:vAlign w:val="center"/>
          </w:tcPr>
          <w:p>
            <w:pPr>
              <w:adjustRightInd/>
              <w:snapToGrid w:val="0"/>
              <w:spacing w:line="240" w:lineRule="auto"/>
              <w:jc w:val="center"/>
              <w:textAlignment w:val="auto"/>
              <w:rPr>
                <w:rFonts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highlight w:val="none"/>
              </w:rPr>
              <w:t>供液消防车</w:t>
            </w:r>
          </w:p>
        </w:tc>
        <w:tc>
          <w:tcPr>
            <w:tcW w:w="1924" w:type="dxa"/>
            <w:tcBorders>
              <w:tl2br w:val="nil"/>
              <w:tr2bl w:val="nil"/>
            </w:tcBorders>
            <w:noWrap w:val="0"/>
            <w:vAlign w:val="center"/>
          </w:tcPr>
          <w:p>
            <w:pPr>
              <w:snapToGrid w:val="0"/>
              <w:spacing w:line="240" w:lineRule="auto"/>
              <w:jc w:val="center"/>
              <w:rPr>
                <w:rFonts w:ascii="宋体" w:hAnsi="Times New Roman" w:eastAsia="宋体" w:cs="Times New Roman"/>
                <w:bCs/>
                <w:color w:val="auto"/>
                <w:sz w:val="24"/>
                <w:szCs w:val="24"/>
                <w:highlight w:val="none"/>
                <w:lang w:val="en-US" w:eastAsia="zh-CN" w:bidi="ar-SA"/>
              </w:rPr>
            </w:pPr>
            <w:r>
              <w:rPr>
                <w:rFonts w:hint="eastAsia" w:ascii="宋体"/>
                <w:bCs/>
                <w:color w:val="auto"/>
                <w:sz w:val="24"/>
                <w:highlight w:val="none"/>
              </w:rPr>
              <w:t>1台</w:t>
            </w:r>
          </w:p>
        </w:tc>
        <w:tc>
          <w:tcPr>
            <w:tcW w:w="3384" w:type="dxa"/>
            <w:tcBorders>
              <w:tl2br w:val="nil"/>
              <w:tr2bl w:val="nil"/>
            </w:tcBorders>
            <w:noWrap w:val="0"/>
            <w:vAlign w:val="center"/>
          </w:tcPr>
          <w:p>
            <w:pPr>
              <w:widowControl/>
              <w:spacing w:line="240" w:lineRule="auto"/>
              <w:jc w:val="center"/>
              <w:textAlignment w:val="center"/>
              <w:rPr>
                <w:rFonts w:ascii="宋体" w:hAnsi="宋体" w:eastAsia="宋体" w:cs="Times New Roman"/>
                <w:color w:val="auto"/>
                <w:kern w:val="2"/>
                <w:szCs w:val="24"/>
                <w:highlight w:val="none"/>
                <w:lang w:val="en-US" w:eastAsia="zh-CN" w:bidi="ar-SA"/>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600</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000.00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2" w:hRule="atLeast"/>
          <w:jc w:val="center"/>
        </w:trPr>
        <w:tc>
          <w:tcPr>
            <w:tcW w:w="1101" w:type="dxa"/>
            <w:tcBorders>
              <w:tl2br w:val="nil"/>
              <w:tr2bl w:val="nil"/>
            </w:tcBorders>
            <w:noWrap w:val="0"/>
            <w:vAlign w:val="center"/>
          </w:tcPr>
          <w:p>
            <w:pPr>
              <w:adjustRightInd/>
              <w:snapToGrid w:val="0"/>
              <w:spacing w:line="240" w:lineRule="auto"/>
              <w:jc w:val="center"/>
              <w:textAlignment w:val="auto"/>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2</w:t>
            </w:r>
          </w:p>
        </w:tc>
        <w:tc>
          <w:tcPr>
            <w:tcW w:w="2976" w:type="dxa"/>
            <w:tcBorders>
              <w:tl2br w:val="nil"/>
              <w:tr2bl w:val="nil"/>
            </w:tcBorders>
            <w:noWrap w:val="0"/>
            <w:vAlign w:val="center"/>
          </w:tcPr>
          <w:p>
            <w:pPr>
              <w:adjustRightInd/>
              <w:snapToGrid w:val="0"/>
              <w:spacing w:line="240" w:lineRule="auto"/>
              <w:jc w:val="center"/>
              <w:textAlignment w:val="auto"/>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highlight w:val="none"/>
              </w:rPr>
              <w:t>手持式中倍数泡沫枪</w:t>
            </w:r>
            <w:r>
              <w:rPr>
                <w:rFonts w:hint="eastAsia" w:ascii="宋体" w:hAnsi="宋体" w:cs="仿宋_GB2312"/>
                <w:color w:val="auto"/>
                <w:kern w:val="2"/>
                <w:sz w:val="24"/>
                <w:highlight w:val="none"/>
                <w:lang w:val="en-US" w:eastAsia="zh-CN"/>
              </w:rPr>
              <w:t>及</w:t>
            </w:r>
            <w:r>
              <w:rPr>
                <w:rFonts w:hint="eastAsia" w:ascii="宋体" w:hAnsi="宋体" w:cs="仿宋_GB2312"/>
                <w:color w:val="auto"/>
                <w:kern w:val="2"/>
                <w:sz w:val="24"/>
                <w:highlight w:val="none"/>
              </w:rPr>
              <w:t>移动式中倍数泡沫炮</w:t>
            </w:r>
            <w:r>
              <w:rPr>
                <w:rFonts w:hint="eastAsia" w:ascii="宋体" w:hAnsi="宋体" w:cs="仿宋_GB2312"/>
                <w:color w:val="auto"/>
                <w:kern w:val="2"/>
                <w:sz w:val="24"/>
                <w:highlight w:val="none"/>
                <w:lang w:val="en-US" w:eastAsia="zh-CN"/>
              </w:rPr>
              <w:t>等装备</w:t>
            </w:r>
          </w:p>
        </w:tc>
        <w:tc>
          <w:tcPr>
            <w:tcW w:w="1924" w:type="dxa"/>
            <w:tcBorders>
              <w:tl2br w:val="nil"/>
              <w:tr2bl w:val="nil"/>
            </w:tcBorders>
            <w:noWrap w:val="0"/>
            <w:vAlign w:val="center"/>
          </w:tcPr>
          <w:p>
            <w:pPr>
              <w:snapToGrid w:val="0"/>
              <w:spacing w:line="240" w:lineRule="auto"/>
              <w:jc w:val="center"/>
              <w:rPr>
                <w:rFonts w:ascii="宋体" w:hAnsi="Times New Roman" w:eastAsia="宋体" w:cs="Times New Roman"/>
                <w:bCs/>
                <w:color w:val="auto"/>
                <w:sz w:val="24"/>
                <w:szCs w:val="24"/>
                <w:highlight w:val="none"/>
                <w:lang w:val="en-US" w:eastAsia="zh-CN" w:bidi="ar-SA"/>
              </w:rPr>
            </w:pPr>
            <w:r>
              <w:rPr>
                <w:rFonts w:hint="eastAsia" w:ascii="宋体"/>
                <w:bCs/>
                <w:color w:val="auto"/>
                <w:sz w:val="24"/>
                <w:highlight w:val="none"/>
                <w:lang w:val="en-US" w:eastAsia="zh-CN"/>
              </w:rPr>
              <w:t>1套</w:t>
            </w:r>
          </w:p>
        </w:tc>
        <w:tc>
          <w:tcPr>
            <w:tcW w:w="3384" w:type="dxa"/>
            <w:tcBorders>
              <w:tl2br w:val="nil"/>
              <w:tr2bl w:val="nil"/>
            </w:tcBorders>
            <w:noWrap w:val="0"/>
            <w:vAlign w:val="center"/>
          </w:tcPr>
          <w:p>
            <w:pPr>
              <w:widowControl/>
              <w:spacing w:line="240" w:lineRule="auto"/>
              <w:jc w:val="center"/>
              <w:textAlignment w:val="center"/>
              <w:rPr>
                <w:rFonts w:hint="default" w:ascii="宋体" w:hAnsi="宋体" w:eastAsia="宋体" w:cs="Times New Roman"/>
                <w:color w:val="auto"/>
                <w:kern w:val="2"/>
                <w:szCs w:val="24"/>
                <w:highlight w:val="none"/>
                <w:lang w:val="en-US" w:eastAsia="zh-CN" w:bidi="ar-SA"/>
              </w:rPr>
            </w:pPr>
            <w:r>
              <w:rPr>
                <w:rFonts w:hint="eastAsia" w:ascii="宋体" w:hAnsi="宋体" w:cs="宋体"/>
                <w:color w:val="auto"/>
                <w:sz w:val="24"/>
                <w:highlight w:val="none"/>
                <w:lang w:val="en-US" w:eastAsia="zh-CN" w:bidi="ar"/>
              </w:rPr>
              <w:t>540,000.00</w:t>
            </w:r>
          </w:p>
        </w:tc>
      </w:tr>
    </w:tbl>
    <w:p>
      <w:pPr>
        <w:numPr>
          <w:ilvl w:val="0"/>
          <w:numId w:val="0"/>
        </w:numPr>
        <w:adjustRightInd/>
        <w:snapToGrid w:val="0"/>
        <w:spacing w:line="360" w:lineRule="auto"/>
        <w:ind w:left="142" w:leftChars="0"/>
        <w:textAlignment w:val="auto"/>
        <w:rPr>
          <w:rFonts w:hint="default" w:ascii="宋体" w:hAnsi="宋体" w:eastAsia="宋体" w:cs="仿宋_GB2312"/>
          <w:color w:val="auto"/>
          <w:kern w:val="2"/>
          <w:sz w:val="24"/>
          <w:highlight w:val="none"/>
          <w:lang w:val="en-US" w:eastAsia="zh-CN"/>
        </w:rPr>
      </w:pPr>
      <w:r>
        <w:rPr>
          <w:rFonts w:hint="eastAsia" w:ascii="宋体" w:hAnsi="宋体" w:cs="仿宋_GB2312"/>
          <w:color w:val="auto"/>
          <w:kern w:val="2"/>
          <w:sz w:val="24"/>
          <w:highlight w:val="none"/>
          <w:lang w:val="en-US" w:eastAsia="zh-CN"/>
        </w:rPr>
        <w:t>备注：包组1、包组2分别为原项目</w:t>
      </w:r>
      <w:r>
        <w:rPr>
          <w:rFonts w:hint="eastAsia" w:ascii="宋体" w:hAnsi="宋体" w:cs="仿宋_GB2312"/>
          <w:color w:val="auto"/>
          <w:kern w:val="2"/>
          <w:sz w:val="24"/>
          <w:highlight w:val="none"/>
          <w:u w:val="none"/>
          <w:lang w:eastAsia="zh-CN"/>
        </w:rPr>
        <w:t>山东省消防救援总队鲁中区域灭火与应急救援中心车辆装备采购（</w:t>
      </w:r>
      <w:r>
        <w:rPr>
          <w:rFonts w:hint="eastAsia" w:ascii="宋体" w:hAnsi="宋体" w:cs="仿宋_GB2312"/>
          <w:color w:val="auto"/>
          <w:kern w:val="2"/>
          <w:sz w:val="24"/>
          <w:highlight w:val="none"/>
          <w:u w:val="none"/>
          <w:lang w:val="en-US" w:eastAsia="zh-CN"/>
        </w:rPr>
        <w:t>项目编号：</w:t>
      </w:r>
      <w:r>
        <w:rPr>
          <w:rFonts w:hint="eastAsia" w:ascii="宋体" w:hAnsi="宋体" w:cs="仿宋_GB2312"/>
          <w:color w:val="auto"/>
          <w:kern w:val="2"/>
          <w:sz w:val="24"/>
          <w:highlight w:val="none"/>
          <w:u w:val="none"/>
          <w:lang w:eastAsia="zh-CN"/>
        </w:rPr>
        <w:t>CLF0221BJ01ZC46）</w:t>
      </w:r>
      <w:r>
        <w:rPr>
          <w:rFonts w:hint="eastAsia" w:ascii="宋体" w:hAnsi="宋体" w:cs="仿宋_GB2312"/>
          <w:color w:val="auto"/>
          <w:kern w:val="2"/>
          <w:sz w:val="24"/>
          <w:highlight w:val="none"/>
          <w:u w:val="none"/>
          <w:lang w:val="en-US" w:eastAsia="zh-CN"/>
        </w:rPr>
        <w:t>包组5、包组6的三次采购项目。</w:t>
      </w:r>
    </w:p>
    <w:p>
      <w:pPr>
        <w:numPr>
          <w:ilvl w:val="0"/>
          <w:numId w:val="3"/>
        </w:numPr>
        <w:adjustRightInd/>
        <w:snapToGrid w:val="0"/>
        <w:spacing w:line="360" w:lineRule="auto"/>
        <w:ind w:left="851" w:hanging="709"/>
        <w:textAlignment w:val="auto"/>
        <w:rPr>
          <w:rFonts w:ascii="宋体" w:hAnsi="宋体" w:cs="仿宋_GB2312"/>
          <w:color w:val="auto"/>
          <w:kern w:val="2"/>
          <w:sz w:val="24"/>
          <w:highlight w:val="none"/>
        </w:rPr>
      </w:pPr>
      <w:r>
        <w:rPr>
          <w:rFonts w:hint="eastAsia" w:ascii="宋体" w:hAnsi="宋体"/>
          <w:bCs/>
          <w:color w:val="auto"/>
          <w:kern w:val="2"/>
          <w:sz w:val="24"/>
          <w:highlight w:val="none"/>
        </w:rPr>
        <w:t>本项目采购本国产品；</w:t>
      </w:r>
    </w:p>
    <w:p>
      <w:pPr>
        <w:numPr>
          <w:ilvl w:val="0"/>
          <w:numId w:val="3"/>
        </w:numPr>
        <w:adjustRightInd/>
        <w:snapToGrid w:val="0"/>
        <w:spacing w:line="360" w:lineRule="auto"/>
        <w:ind w:left="851" w:hanging="709"/>
        <w:textAlignment w:val="auto"/>
        <w:rPr>
          <w:rFonts w:ascii="宋体" w:hAnsi="宋体"/>
          <w:bCs/>
          <w:i/>
          <w:iCs/>
          <w:color w:val="auto"/>
          <w:kern w:val="2"/>
          <w:sz w:val="24"/>
          <w:highlight w:val="none"/>
          <w:u w:val="single"/>
        </w:rPr>
      </w:pPr>
      <w:r>
        <w:rPr>
          <w:rFonts w:hint="eastAsia" w:ascii="宋体" w:hAnsi="宋体"/>
          <w:bCs/>
          <w:color w:val="auto"/>
          <w:kern w:val="2"/>
          <w:sz w:val="24"/>
          <w:highlight w:val="none"/>
        </w:rPr>
        <w:t>简要技术要求：</w:t>
      </w:r>
    </w:p>
    <w:p>
      <w:pPr>
        <w:adjustRightInd/>
        <w:snapToGrid w:val="0"/>
        <w:spacing w:line="360" w:lineRule="auto"/>
        <w:ind w:firstLine="799" w:firstLineChars="333"/>
        <w:textAlignment w:val="auto"/>
        <w:rPr>
          <w:rFonts w:ascii="宋体" w:hAnsi="宋体"/>
          <w:color w:val="auto"/>
          <w:kern w:val="24"/>
          <w:sz w:val="24"/>
          <w:highlight w:val="none"/>
          <w:u w:val="single"/>
        </w:rPr>
      </w:pPr>
      <w:r>
        <w:rPr>
          <w:rFonts w:hint="eastAsia" w:ascii="宋体" w:hAnsi="宋体"/>
          <w:color w:val="auto"/>
          <w:kern w:val="24"/>
          <w:sz w:val="24"/>
          <w:highlight w:val="none"/>
        </w:rPr>
        <w:t>包组</w:t>
      </w:r>
      <w:r>
        <w:rPr>
          <w:rFonts w:hint="eastAsia" w:ascii="宋体" w:hAnsi="宋体"/>
          <w:color w:val="auto"/>
          <w:kern w:val="24"/>
          <w:sz w:val="24"/>
          <w:highlight w:val="none"/>
          <w:lang w:val="en-US" w:eastAsia="zh-CN"/>
        </w:rPr>
        <w:t>1</w:t>
      </w:r>
      <w:r>
        <w:rPr>
          <w:rFonts w:hint="eastAsia" w:ascii="宋体" w:hAnsi="宋体"/>
          <w:bCs/>
          <w:color w:val="auto"/>
          <w:kern w:val="2"/>
          <w:sz w:val="24"/>
          <w:highlight w:val="none"/>
        </w:rPr>
        <w:t>：</w:t>
      </w:r>
      <w:r>
        <w:rPr>
          <w:rFonts w:hint="eastAsia" w:ascii="宋体" w:hAnsi="宋体"/>
          <w:bCs/>
          <w:color w:val="auto"/>
          <w:kern w:val="2"/>
          <w:sz w:val="24"/>
          <w:highlight w:val="none"/>
          <w:u w:val="single"/>
        </w:rPr>
        <w:t>★整车符合GB7956.1-2014《消防车第1部分：通用技术条件》。</w:t>
      </w:r>
      <w:r>
        <w:rPr>
          <w:rFonts w:hint="eastAsia" w:ascii="宋体" w:hAnsi="宋体"/>
          <w:color w:val="auto"/>
          <w:kern w:val="24"/>
          <w:sz w:val="24"/>
          <w:highlight w:val="none"/>
          <w:u w:val="single"/>
        </w:rPr>
        <w:t>具体详见采购需求。</w:t>
      </w:r>
    </w:p>
    <w:p>
      <w:pPr>
        <w:adjustRightInd/>
        <w:snapToGrid w:val="0"/>
        <w:spacing w:line="360" w:lineRule="auto"/>
        <w:ind w:firstLine="799" w:firstLineChars="333"/>
        <w:textAlignment w:val="auto"/>
        <w:rPr>
          <w:rFonts w:ascii="宋体" w:hAnsi="宋体"/>
          <w:color w:val="auto"/>
          <w:kern w:val="24"/>
          <w:sz w:val="24"/>
          <w:highlight w:val="none"/>
          <w:u w:val="single"/>
        </w:rPr>
      </w:pPr>
      <w:r>
        <w:rPr>
          <w:rFonts w:hint="eastAsia" w:ascii="宋体" w:hAnsi="宋体"/>
          <w:color w:val="auto"/>
          <w:kern w:val="24"/>
          <w:sz w:val="24"/>
          <w:highlight w:val="none"/>
        </w:rPr>
        <w:t>包组</w:t>
      </w:r>
      <w:r>
        <w:rPr>
          <w:rFonts w:hint="eastAsia" w:ascii="宋体" w:hAnsi="宋体"/>
          <w:color w:val="auto"/>
          <w:kern w:val="24"/>
          <w:sz w:val="24"/>
          <w:highlight w:val="none"/>
          <w:lang w:val="en-US" w:eastAsia="zh-CN"/>
        </w:rPr>
        <w:t>2</w:t>
      </w:r>
      <w:r>
        <w:rPr>
          <w:rFonts w:hint="eastAsia" w:ascii="宋体" w:hAnsi="宋体"/>
          <w:color w:val="auto"/>
          <w:kern w:val="24"/>
          <w:sz w:val="24"/>
          <w:highlight w:val="none"/>
        </w:rPr>
        <w:t>：</w:t>
      </w:r>
      <w:r>
        <w:rPr>
          <w:rFonts w:hint="eastAsia" w:ascii="宋体" w:hAnsi="宋体" w:eastAsia="宋体" w:cs="宋体"/>
          <w:color w:val="auto"/>
          <w:sz w:val="24"/>
          <w:highlight w:val="none"/>
          <w:u w:val="single"/>
        </w:rPr>
        <w:t>手持式中倍数泡沫枪（流量≥7L/s）</w:t>
      </w:r>
      <w:r>
        <w:rPr>
          <w:rFonts w:hint="eastAsia" w:ascii="宋体" w:hAnsi="宋体" w:cs="宋体"/>
          <w:color w:val="auto"/>
          <w:sz w:val="24"/>
          <w:highlight w:val="none"/>
          <w:u w:val="single"/>
          <w:lang w:eastAsia="zh-CN"/>
        </w:rPr>
        <w:t>：</w:t>
      </w:r>
      <w:r>
        <w:rPr>
          <w:rFonts w:hint="eastAsia" w:ascii="宋体" w:hAnsi="宋体"/>
          <w:color w:val="auto"/>
          <w:kern w:val="24"/>
          <w:sz w:val="24"/>
          <w:highlight w:val="none"/>
          <w:u w:val="single"/>
        </w:rPr>
        <w:t>符合国家现行GB25202-2010《泡沫枪》标准要求，提供国家认可的检验机构出具的检测报告</w:t>
      </w:r>
      <w:r>
        <w:rPr>
          <w:rFonts w:hint="eastAsia" w:ascii="宋体" w:hAnsi="宋体"/>
          <w:color w:val="auto"/>
          <w:kern w:val="24"/>
          <w:sz w:val="24"/>
          <w:highlight w:val="none"/>
          <w:u w:val="single"/>
          <w:lang w:eastAsia="zh-CN"/>
        </w:rPr>
        <w:t>；</w:t>
      </w:r>
      <w:r>
        <w:rPr>
          <w:rFonts w:hint="eastAsia" w:ascii="宋体" w:hAnsi="宋体" w:eastAsia="宋体" w:cs="宋体"/>
          <w:color w:val="auto"/>
          <w:sz w:val="24"/>
          <w:highlight w:val="none"/>
          <w:u w:val="single"/>
        </w:rPr>
        <w:t>移动式中倍数泡沫炮（流量≥40L/s）</w:t>
      </w:r>
      <w:r>
        <w:rPr>
          <w:rFonts w:hint="eastAsia" w:ascii="宋体" w:hAnsi="宋体" w:cs="宋体"/>
          <w:color w:val="auto"/>
          <w:sz w:val="24"/>
          <w:highlight w:val="none"/>
          <w:u w:val="single"/>
          <w:lang w:eastAsia="zh-CN"/>
        </w:rPr>
        <w:t>、推车式中倍数泡沫炮（流量≥10L/s）、</w:t>
      </w:r>
      <w:r>
        <w:rPr>
          <w:rFonts w:hint="eastAsia" w:ascii="宋体" w:hAnsi="宋体" w:eastAsia="宋体" w:cs="宋体"/>
          <w:color w:val="auto"/>
          <w:sz w:val="24"/>
          <w:highlight w:val="none"/>
          <w:u w:val="single"/>
        </w:rPr>
        <w:t>拖车式车载远控中倍数泡沫炮（流量≥80L/s）</w:t>
      </w:r>
      <w:r>
        <w:rPr>
          <w:rFonts w:hint="eastAsia" w:ascii="宋体" w:hAnsi="宋体" w:cs="宋体"/>
          <w:color w:val="auto"/>
          <w:sz w:val="24"/>
          <w:highlight w:val="none"/>
          <w:u w:val="single"/>
          <w:lang w:eastAsia="zh-CN"/>
        </w:rPr>
        <w:t>：符合国家现行GB19156-2019《消防炮》标准要求，提供国家认可的检验机构出具的检测报告。</w:t>
      </w:r>
      <w:r>
        <w:rPr>
          <w:rFonts w:hint="eastAsia" w:ascii="宋体" w:hAnsi="宋体"/>
          <w:color w:val="auto"/>
          <w:kern w:val="24"/>
          <w:sz w:val="24"/>
          <w:highlight w:val="none"/>
          <w:u w:val="single"/>
        </w:rPr>
        <w:t>具体详见采购需求。</w:t>
      </w:r>
    </w:p>
    <w:p>
      <w:pPr>
        <w:numPr>
          <w:ilvl w:val="0"/>
          <w:numId w:val="2"/>
        </w:numPr>
        <w:adjustRightInd/>
        <w:snapToGrid w:val="0"/>
        <w:spacing w:line="360" w:lineRule="auto"/>
        <w:textAlignment w:val="auto"/>
        <w:rPr>
          <w:rFonts w:ascii="宋体" w:hAnsi="宋体"/>
          <w:color w:val="auto"/>
          <w:kern w:val="2"/>
          <w:sz w:val="24"/>
          <w:highlight w:val="none"/>
          <w:u w:val="single"/>
          <w:shd w:val="pct10" w:color="auto" w:fill="FFFFFF"/>
        </w:rPr>
      </w:pPr>
      <w:r>
        <w:rPr>
          <w:rFonts w:hint="eastAsia" w:ascii="宋体" w:hAnsi="宋体"/>
          <w:bCs/>
          <w:color w:val="auto"/>
          <w:kern w:val="2"/>
          <w:sz w:val="24"/>
          <w:highlight w:val="none"/>
        </w:rPr>
        <w:t>其他：政府采购监督管理部门为</w:t>
      </w:r>
      <w:r>
        <w:rPr>
          <w:rFonts w:hint="eastAsia" w:ascii="宋体" w:hAnsi="宋体"/>
          <w:bCs/>
          <w:color w:val="auto"/>
          <w:kern w:val="2"/>
          <w:sz w:val="24"/>
          <w:highlight w:val="none"/>
          <w:u w:val="single"/>
        </w:rPr>
        <w:t>财政部国库司政府采购管理处</w:t>
      </w:r>
    </w:p>
    <w:p>
      <w:pPr>
        <w:adjustRightInd/>
        <w:snapToGrid w:val="0"/>
        <w:spacing w:line="360" w:lineRule="auto"/>
        <w:textAlignment w:val="auto"/>
        <w:rPr>
          <w:color w:val="auto"/>
          <w:highlight w:val="none"/>
        </w:rPr>
      </w:pPr>
      <w:r>
        <w:rPr>
          <w:rFonts w:hint="eastAsia" w:ascii="宋体" w:hAnsi="宋体" w:cs="仿宋_GB2312"/>
          <w:color w:val="auto"/>
          <w:kern w:val="2"/>
          <w:sz w:val="24"/>
          <w:highlight w:val="none"/>
        </w:rPr>
        <w:t>合同履行期限：</w:t>
      </w:r>
      <w:r>
        <w:rPr>
          <w:rFonts w:hint="eastAsia" w:ascii="宋体" w:hAnsi="宋体" w:cs="仿宋_GB2312"/>
          <w:color w:val="auto"/>
          <w:kern w:val="2"/>
          <w:sz w:val="24"/>
          <w:highlight w:val="none"/>
          <w:u w:val="single"/>
        </w:rPr>
        <w:t>(适用于各包组)自合同签订之日起</w:t>
      </w:r>
      <w:r>
        <w:rPr>
          <w:rFonts w:hint="eastAsia" w:ascii="宋体" w:hAnsi="宋体" w:cs="仿宋_GB2312"/>
          <w:color w:val="auto"/>
          <w:kern w:val="2"/>
          <w:sz w:val="24"/>
          <w:highlight w:val="none"/>
          <w:u w:val="single"/>
          <w:lang w:eastAsia="zh-CN"/>
        </w:rPr>
        <w:t>12个月</w:t>
      </w:r>
      <w:r>
        <w:rPr>
          <w:rFonts w:hint="eastAsia" w:ascii="宋体" w:hAnsi="宋体" w:cs="仿宋_GB2312"/>
          <w:color w:val="auto"/>
          <w:kern w:val="2"/>
          <w:sz w:val="24"/>
          <w:highlight w:val="none"/>
          <w:u w:val="single"/>
        </w:rPr>
        <w:t>内交货并具备验收条件</w:t>
      </w:r>
    </w:p>
    <w:p>
      <w:pPr>
        <w:adjustRightInd/>
        <w:snapToGrid w:val="0"/>
        <w:spacing w:line="360" w:lineRule="auto"/>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本项目</w:t>
      </w:r>
      <w:bookmarkStart w:id="3" w:name="_Hlk40885918"/>
      <w:r>
        <w:rPr>
          <w:rFonts w:hint="eastAsia" w:ascii="宋体" w:hAnsi="宋体" w:cs="仿宋_GB2312"/>
          <w:color w:val="auto"/>
          <w:kern w:val="2"/>
          <w:sz w:val="24"/>
          <w:highlight w:val="none"/>
          <w:u w:val="single"/>
        </w:rPr>
        <w:t>不接受</w:t>
      </w:r>
      <w:bookmarkEnd w:id="3"/>
      <w:r>
        <w:rPr>
          <w:rFonts w:hint="eastAsia" w:ascii="宋体" w:hAnsi="宋体" w:cs="仿宋_GB2312"/>
          <w:color w:val="auto"/>
          <w:kern w:val="2"/>
          <w:sz w:val="24"/>
          <w:highlight w:val="none"/>
        </w:rPr>
        <w:t>联合体投标。</w:t>
      </w:r>
    </w:p>
    <w:p>
      <w:pPr>
        <w:numPr>
          <w:ilvl w:val="0"/>
          <w:numId w:val="1"/>
        </w:numPr>
        <w:adjustRightInd/>
        <w:snapToGrid w:val="0"/>
        <w:spacing w:line="360" w:lineRule="auto"/>
        <w:textAlignment w:val="auto"/>
        <w:rPr>
          <w:rFonts w:ascii="宋体" w:hAnsi="宋体" w:cs="仿宋_GB2312"/>
          <w:b/>
          <w:bCs/>
          <w:color w:val="auto"/>
          <w:kern w:val="2"/>
          <w:sz w:val="24"/>
          <w:highlight w:val="none"/>
        </w:rPr>
      </w:pPr>
      <w:r>
        <w:rPr>
          <w:rFonts w:hint="eastAsia" w:ascii="宋体" w:hAnsi="宋体" w:cs="仿宋_GB2312"/>
          <w:b/>
          <w:bCs/>
          <w:color w:val="auto"/>
          <w:kern w:val="2"/>
          <w:sz w:val="24"/>
          <w:highlight w:val="none"/>
        </w:rPr>
        <w:t>申请人的资格要求：</w:t>
      </w:r>
    </w:p>
    <w:p>
      <w:pPr>
        <w:numPr>
          <w:ilvl w:val="0"/>
          <w:numId w:val="4"/>
        </w:numPr>
        <w:adjustRightInd/>
        <w:snapToGrid w:val="0"/>
        <w:spacing w:line="360" w:lineRule="auto"/>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满足《中华人民共和国政府采购法》第二十二条规定；</w:t>
      </w:r>
    </w:p>
    <w:p>
      <w:pPr>
        <w:numPr>
          <w:ilvl w:val="0"/>
          <w:numId w:val="4"/>
        </w:numPr>
        <w:adjustRightInd/>
        <w:snapToGrid w:val="0"/>
        <w:spacing w:line="360" w:lineRule="auto"/>
        <w:textAlignment w:val="auto"/>
        <w:rPr>
          <w:rFonts w:ascii="宋体" w:hAnsi="宋体"/>
          <w:i/>
          <w:iCs/>
          <w:color w:val="auto"/>
          <w:kern w:val="2"/>
          <w:sz w:val="24"/>
          <w:highlight w:val="none"/>
          <w:shd w:val="pct10" w:color="auto" w:fill="FFFFFF"/>
        </w:rPr>
      </w:pPr>
      <w:r>
        <w:rPr>
          <w:rFonts w:hint="eastAsia" w:ascii="宋体" w:hAnsi="宋体" w:cs="仿宋_GB2312"/>
          <w:color w:val="auto"/>
          <w:kern w:val="2"/>
          <w:sz w:val="24"/>
          <w:highlight w:val="none"/>
        </w:rPr>
        <w:t>落实政府采购政策需满足的资格要求：无，本项目非专门面向中小企业采购的项目</w:t>
      </w:r>
    </w:p>
    <w:p>
      <w:pPr>
        <w:numPr>
          <w:ilvl w:val="0"/>
          <w:numId w:val="4"/>
        </w:numPr>
        <w:adjustRightInd/>
        <w:snapToGrid w:val="0"/>
        <w:spacing w:line="360" w:lineRule="auto"/>
        <w:textAlignment w:val="auto"/>
        <w:rPr>
          <w:rFonts w:ascii="宋体" w:hAnsi="宋体" w:cs="仿宋_GB2312"/>
          <w:color w:val="auto"/>
          <w:kern w:val="2"/>
          <w:sz w:val="24"/>
          <w:highlight w:val="none"/>
        </w:rPr>
      </w:pPr>
      <w:r>
        <w:rPr>
          <w:rFonts w:ascii="宋体" w:hAnsi="宋体" w:cs="仿宋_GB2312"/>
          <w:color w:val="auto"/>
          <w:kern w:val="2"/>
          <w:sz w:val="24"/>
          <w:highlight w:val="none"/>
        </w:rPr>
        <w:t>本项目的特定资格要求：</w:t>
      </w:r>
      <w:r>
        <w:rPr>
          <w:rFonts w:hint="eastAsia" w:ascii="宋体" w:hAnsi="宋体" w:cs="仿宋_GB2312"/>
          <w:color w:val="auto"/>
          <w:kern w:val="2"/>
          <w:sz w:val="24"/>
          <w:highlight w:val="none"/>
        </w:rPr>
        <w:t>无。</w:t>
      </w:r>
    </w:p>
    <w:p>
      <w:pPr>
        <w:adjustRightInd/>
        <w:snapToGrid w:val="0"/>
        <w:spacing w:line="360" w:lineRule="auto"/>
        <w:ind w:left="377" w:hanging="376" w:hangingChars="157"/>
        <w:textAlignment w:val="auto"/>
        <w:rPr>
          <w:rFonts w:ascii="宋体" w:hAnsi="宋体"/>
          <w:bCs/>
          <w:color w:val="auto"/>
          <w:kern w:val="2"/>
          <w:sz w:val="24"/>
          <w:highlight w:val="none"/>
        </w:rPr>
      </w:pPr>
      <w:r>
        <w:rPr>
          <w:rFonts w:hint="eastAsia" w:ascii="宋体" w:hAnsi="宋体"/>
          <w:color w:val="auto"/>
          <w:kern w:val="2"/>
          <w:sz w:val="24"/>
          <w:szCs w:val="21"/>
          <w:highlight w:val="none"/>
        </w:rPr>
        <w:t>4</w:t>
      </w:r>
      <w:r>
        <w:rPr>
          <w:rFonts w:ascii="宋体" w:hAnsi="宋体"/>
          <w:color w:val="auto"/>
          <w:kern w:val="2"/>
          <w:sz w:val="24"/>
          <w:szCs w:val="21"/>
          <w:highlight w:val="none"/>
        </w:rPr>
        <w:t xml:space="preserve">. </w:t>
      </w:r>
      <w:r>
        <w:rPr>
          <w:rFonts w:hint="eastAsia" w:ascii="宋体" w:hAnsi="宋体" w:cs="仿宋_GB2312"/>
          <w:color w:val="auto"/>
          <w:kern w:val="2"/>
          <w:sz w:val="24"/>
          <w:highlight w:val="none"/>
        </w:rPr>
        <w:t>满足《中华人民共和国政府采购法》第二十二条规定：</w:t>
      </w:r>
    </w:p>
    <w:p>
      <w:pPr>
        <w:numPr>
          <w:ilvl w:val="0"/>
          <w:numId w:val="5"/>
        </w:numPr>
        <w:adjustRightInd/>
        <w:snapToGrid w:val="0"/>
        <w:spacing w:line="360" w:lineRule="auto"/>
        <w:ind w:left="427" w:hanging="427" w:hangingChars="178"/>
        <w:textAlignment w:val="auto"/>
        <w:rPr>
          <w:rFonts w:ascii="宋体" w:hAnsi="宋体"/>
          <w:bCs/>
          <w:color w:val="auto"/>
          <w:kern w:val="2"/>
          <w:sz w:val="24"/>
          <w:highlight w:val="none"/>
        </w:rPr>
      </w:pPr>
      <w:r>
        <w:rPr>
          <w:rFonts w:hint="eastAsia" w:ascii="宋体" w:hAnsi="宋体"/>
          <w:color w:val="auto"/>
          <w:kern w:val="2"/>
          <w:sz w:val="24"/>
          <w:szCs w:val="21"/>
          <w:highlight w:val="none"/>
        </w:rPr>
        <w:t>提供在中华人民共和国境内注册的法人或其他组织的营业执照或事业单位法人证书或社会团体法人登记证书复印件，如响应供应商为自然人的提供自然人身份证明复印件；如国家另有规定的，则从其规定。</w:t>
      </w:r>
      <w:r>
        <w:rPr>
          <w:rFonts w:hint="eastAsia" w:ascii="宋体" w:hAnsi="宋体" w:cs="宋体"/>
          <w:color w:val="auto"/>
          <w:kern w:val="2"/>
          <w:sz w:val="24"/>
          <w:highlight w:val="none"/>
        </w:rPr>
        <w:t>（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5"/>
        </w:numPr>
        <w:adjustRightInd/>
        <w:snapToGrid w:val="0"/>
        <w:spacing w:line="360" w:lineRule="auto"/>
        <w:ind w:left="427" w:hanging="427" w:hangingChars="178"/>
        <w:textAlignment w:val="auto"/>
        <w:rPr>
          <w:rFonts w:ascii="宋体" w:hAnsi="宋体"/>
          <w:bCs/>
          <w:color w:val="auto"/>
          <w:kern w:val="2"/>
          <w:sz w:val="24"/>
          <w:highlight w:val="none"/>
        </w:rPr>
      </w:pPr>
      <w:r>
        <w:rPr>
          <w:rFonts w:hint="eastAsia" w:ascii="宋体" w:hAnsi="宋体"/>
          <w:kern w:val="2"/>
          <w:sz w:val="24"/>
          <w:szCs w:val="21"/>
          <w:highlight w:val="none"/>
        </w:rPr>
        <w:t>提供</w:t>
      </w:r>
      <w:r>
        <w:rPr>
          <w:rFonts w:hint="eastAsia" w:ascii="宋体" w:hAnsi="宋体"/>
          <w:kern w:val="2"/>
          <w:sz w:val="24"/>
          <w:szCs w:val="21"/>
          <w:highlight w:val="none"/>
          <w:u w:val="single"/>
          <w:lang w:val="en-US" w:eastAsia="zh-CN"/>
        </w:rPr>
        <w:t>2020</w:t>
      </w:r>
      <w:r>
        <w:rPr>
          <w:rFonts w:hint="eastAsia" w:ascii="宋体" w:hAnsi="宋体"/>
          <w:kern w:val="2"/>
          <w:sz w:val="24"/>
          <w:szCs w:val="21"/>
          <w:highlight w:val="none"/>
        </w:rPr>
        <w:t>年度</w:t>
      </w:r>
      <w:r>
        <w:rPr>
          <w:rFonts w:hint="eastAsia" w:ascii="宋体" w:hAnsi="宋体"/>
          <w:kern w:val="2"/>
          <w:sz w:val="24"/>
          <w:szCs w:val="21"/>
          <w:highlight w:val="none"/>
          <w:lang w:val="en-US" w:eastAsia="zh-CN"/>
        </w:rPr>
        <w:t>经审计的</w:t>
      </w:r>
      <w:r>
        <w:rPr>
          <w:rFonts w:hint="eastAsia" w:ascii="宋体" w:hAnsi="宋体"/>
          <w:kern w:val="2"/>
          <w:sz w:val="24"/>
          <w:szCs w:val="21"/>
          <w:highlight w:val="none"/>
        </w:rPr>
        <w:t>财务</w:t>
      </w:r>
      <w:r>
        <w:rPr>
          <w:rFonts w:hint="eastAsia" w:ascii="宋体" w:hAnsi="宋体"/>
          <w:kern w:val="2"/>
          <w:sz w:val="24"/>
          <w:szCs w:val="21"/>
          <w:highlight w:val="none"/>
          <w:lang w:val="en-US" w:eastAsia="zh-CN"/>
        </w:rPr>
        <w:t>审计</w:t>
      </w:r>
      <w:r>
        <w:rPr>
          <w:rFonts w:hint="eastAsia" w:ascii="宋体" w:hAnsi="宋体"/>
          <w:kern w:val="2"/>
          <w:sz w:val="24"/>
          <w:szCs w:val="21"/>
          <w:highlight w:val="none"/>
        </w:rPr>
        <w:t>报告</w:t>
      </w:r>
      <w:r>
        <w:rPr>
          <w:rFonts w:hint="eastAsia" w:ascii="宋体" w:hAnsi="宋体"/>
          <w:kern w:val="2"/>
          <w:sz w:val="24"/>
          <w:szCs w:val="21"/>
          <w:highlight w:val="none"/>
          <w:lang w:val="en-US" w:eastAsia="zh-CN"/>
        </w:rPr>
        <w:t>复印件</w:t>
      </w:r>
      <w:r>
        <w:rPr>
          <w:rFonts w:hint="eastAsia" w:ascii="宋体" w:hAnsi="宋体"/>
          <w:kern w:val="2"/>
          <w:sz w:val="24"/>
          <w:szCs w:val="21"/>
          <w:highlight w:val="none"/>
        </w:rPr>
        <w:t>或</w:t>
      </w:r>
      <w:r>
        <w:rPr>
          <w:rFonts w:hint="eastAsia" w:ascii="宋体" w:hAnsi="宋体"/>
          <w:kern w:val="2"/>
          <w:sz w:val="24"/>
          <w:szCs w:val="21"/>
          <w:highlight w:val="none"/>
          <w:lang w:val="en-US" w:eastAsia="zh-CN"/>
        </w:rPr>
        <w:t>投标截止时间前三个月内</w:t>
      </w:r>
      <w:r>
        <w:rPr>
          <w:rFonts w:hint="eastAsia" w:ascii="宋体" w:hAnsi="宋体"/>
          <w:kern w:val="2"/>
          <w:sz w:val="24"/>
          <w:szCs w:val="21"/>
          <w:highlight w:val="none"/>
        </w:rPr>
        <w:t>银行出具的资信证明材料复印件</w:t>
      </w:r>
      <w:r>
        <w:rPr>
          <w:rFonts w:hint="eastAsia" w:ascii="宋体" w:hAnsi="宋体"/>
          <w:kern w:val="2"/>
          <w:sz w:val="24"/>
          <w:szCs w:val="21"/>
          <w:highlight w:val="none"/>
          <w:lang w:val="en-US" w:eastAsia="zh-CN"/>
        </w:rPr>
        <w:t>并加盖投标人公章（如资信证明中注明复印件或扫描无效的，须提供原件）；</w:t>
      </w:r>
    </w:p>
    <w:p>
      <w:pPr>
        <w:numPr>
          <w:ilvl w:val="0"/>
          <w:numId w:val="5"/>
        </w:numPr>
        <w:adjustRightInd/>
        <w:snapToGrid w:val="0"/>
        <w:spacing w:line="360" w:lineRule="auto"/>
        <w:ind w:left="427" w:hanging="427" w:hangingChars="178"/>
        <w:textAlignment w:val="auto"/>
        <w:rPr>
          <w:rFonts w:ascii="宋体" w:hAnsi="宋体"/>
          <w:bCs/>
          <w:color w:val="auto"/>
          <w:kern w:val="2"/>
          <w:sz w:val="24"/>
          <w:highlight w:val="none"/>
        </w:rPr>
      </w:pPr>
      <w:r>
        <w:rPr>
          <w:rFonts w:hint="eastAsia" w:ascii="宋体" w:hAnsi="宋体"/>
          <w:color w:val="auto"/>
          <w:kern w:val="2"/>
          <w:sz w:val="24"/>
          <w:szCs w:val="21"/>
          <w:highlight w:val="none"/>
        </w:rPr>
        <w:t>提供</w:t>
      </w:r>
      <w:r>
        <w:rPr>
          <w:rFonts w:hint="eastAsia" w:ascii="宋体" w:hAnsi="宋体"/>
          <w:color w:val="auto"/>
          <w:kern w:val="2"/>
          <w:sz w:val="24"/>
          <w:szCs w:val="21"/>
          <w:highlight w:val="none"/>
          <w:u w:val="single"/>
        </w:rPr>
        <w:t>2021</w:t>
      </w:r>
      <w:r>
        <w:rPr>
          <w:rFonts w:hint="eastAsia" w:ascii="宋体" w:hAnsi="宋体"/>
          <w:color w:val="auto"/>
          <w:kern w:val="2"/>
          <w:sz w:val="24"/>
          <w:szCs w:val="21"/>
          <w:highlight w:val="none"/>
        </w:rPr>
        <w:t>年至今任意</w:t>
      </w:r>
      <w:r>
        <w:rPr>
          <w:rFonts w:hint="eastAsia" w:ascii="宋体" w:hAnsi="宋体"/>
          <w:color w:val="auto"/>
          <w:kern w:val="2"/>
          <w:sz w:val="24"/>
          <w:szCs w:val="21"/>
          <w:highlight w:val="none"/>
          <w:u w:val="single"/>
          <w:lang w:val="en-US" w:eastAsia="zh-CN"/>
        </w:rPr>
        <w:t>3</w:t>
      </w:r>
      <w:r>
        <w:rPr>
          <w:rFonts w:hint="eastAsia" w:ascii="宋体" w:hAnsi="宋体"/>
          <w:color w:val="auto"/>
          <w:kern w:val="2"/>
          <w:sz w:val="24"/>
          <w:szCs w:val="21"/>
          <w:highlight w:val="none"/>
        </w:rPr>
        <w:t>个月缴纳税收的凭据证明材料复印件；如依法免税的，应提供相关材料；</w:t>
      </w:r>
    </w:p>
    <w:p>
      <w:pPr>
        <w:numPr>
          <w:ilvl w:val="0"/>
          <w:numId w:val="5"/>
        </w:numPr>
        <w:adjustRightInd/>
        <w:snapToGrid w:val="0"/>
        <w:spacing w:line="360" w:lineRule="auto"/>
        <w:ind w:left="427" w:hanging="427" w:hangingChars="178"/>
        <w:textAlignment w:val="auto"/>
        <w:rPr>
          <w:rFonts w:ascii="宋体" w:hAnsi="宋体"/>
          <w:bCs/>
          <w:color w:val="auto"/>
          <w:kern w:val="2"/>
          <w:sz w:val="24"/>
          <w:highlight w:val="none"/>
        </w:rPr>
      </w:pPr>
      <w:r>
        <w:rPr>
          <w:rFonts w:hint="eastAsia" w:ascii="宋体" w:hAnsi="宋体"/>
          <w:color w:val="auto"/>
          <w:kern w:val="2"/>
          <w:sz w:val="24"/>
          <w:szCs w:val="21"/>
          <w:highlight w:val="none"/>
        </w:rPr>
        <w:t>提供</w:t>
      </w:r>
      <w:r>
        <w:rPr>
          <w:rFonts w:hint="eastAsia" w:ascii="宋体" w:hAnsi="宋体"/>
          <w:color w:val="auto"/>
          <w:kern w:val="2"/>
          <w:sz w:val="24"/>
          <w:szCs w:val="21"/>
          <w:highlight w:val="none"/>
          <w:u w:val="single"/>
        </w:rPr>
        <w:t>2021</w:t>
      </w:r>
      <w:r>
        <w:rPr>
          <w:rFonts w:hint="eastAsia" w:ascii="宋体" w:hAnsi="宋体"/>
          <w:color w:val="auto"/>
          <w:kern w:val="2"/>
          <w:sz w:val="24"/>
          <w:szCs w:val="21"/>
          <w:highlight w:val="none"/>
        </w:rPr>
        <w:t>年至今任意</w:t>
      </w:r>
      <w:r>
        <w:rPr>
          <w:rFonts w:hint="eastAsia" w:ascii="宋体" w:hAnsi="宋体"/>
          <w:color w:val="auto"/>
          <w:kern w:val="2"/>
          <w:sz w:val="24"/>
          <w:szCs w:val="21"/>
          <w:highlight w:val="none"/>
          <w:u w:val="single"/>
          <w:lang w:val="en-US" w:eastAsia="zh-CN"/>
        </w:rPr>
        <w:t>3</w:t>
      </w:r>
      <w:r>
        <w:rPr>
          <w:rFonts w:hint="eastAsia" w:ascii="宋体" w:hAnsi="宋体"/>
          <w:color w:val="auto"/>
          <w:kern w:val="2"/>
          <w:sz w:val="24"/>
          <w:szCs w:val="21"/>
          <w:highlight w:val="none"/>
        </w:rPr>
        <w:t>个月社会保障资金的凭据证明材料复印件；如依法不需要缴纳社会保障资金的，应提供相关材料；</w:t>
      </w:r>
    </w:p>
    <w:p>
      <w:pPr>
        <w:numPr>
          <w:ilvl w:val="0"/>
          <w:numId w:val="5"/>
        </w:numPr>
        <w:adjustRightInd/>
        <w:snapToGrid w:val="0"/>
        <w:spacing w:line="360" w:lineRule="auto"/>
        <w:ind w:left="427" w:hanging="427" w:hangingChars="178"/>
        <w:textAlignment w:val="auto"/>
        <w:rPr>
          <w:rFonts w:ascii="宋体" w:hAnsi="宋体"/>
          <w:bCs/>
          <w:color w:val="auto"/>
          <w:kern w:val="2"/>
          <w:sz w:val="24"/>
          <w:highlight w:val="none"/>
        </w:rPr>
      </w:pPr>
      <w:r>
        <w:rPr>
          <w:rFonts w:hint="eastAsia" w:ascii="宋体" w:hAnsi="宋体"/>
          <w:color w:val="auto"/>
          <w:kern w:val="2"/>
          <w:sz w:val="24"/>
          <w:szCs w:val="21"/>
          <w:highlight w:val="none"/>
        </w:rPr>
        <w:t>提供履行合同所必需的设备和专业技术能力的证明材料；（提供《投标人资格声明函》）</w:t>
      </w:r>
    </w:p>
    <w:p>
      <w:pPr>
        <w:numPr>
          <w:ilvl w:val="0"/>
          <w:numId w:val="5"/>
        </w:numPr>
        <w:adjustRightInd/>
        <w:snapToGrid w:val="0"/>
        <w:spacing w:line="360" w:lineRule="auto"/>
        <w:ind w:left="427" w:hanging="427" w:hangingChars="178"/>
        <w:textAlignment w:val="auto"/>
        <w:rPr>
          <w:rFonts w:ascii="宋体" w:hAnsi="宋体"/>
          <w:bCs/>
          <w:color w:val="auto"/>
          <w:kern w:val="2"/>
          <w:sz w:val="24"/>
          <w:highlight w:val="none"/>
        </w:rPr>
      </w:pPr>
      <w:r>
        <w:rPr>
          <w:rFonts w:hint="eastAsia" w:ascii="宋体" w:hAnsi="宋体"/>
          <w:color w:val="auto"/>
          <w:kern w:val="2"/>
          <w:sz w:val="24"/>
          <w:szCs w:val="21"/>
          <w:highlight w:val="none"/>
        </w:rPr>
        <w:t>提供参加政府采购活动前3年内在经营活动中没有重大违法记录的书面声明（重大违法记录是指没有因违法经营受到刑事处罚或责令停产停业、吊销许可证或者执照、较大数额罚款等行政处罚）；（</w:t>
      </w:r>
      <w:r>
        <w:rPr>
          <w:rFonts w:hint="eastAsia" w:ascii="宋体" w:hAnsi="宋体"/>
          <w:bCs/>
          <w:color w:val="auto"/>
          <w:kern w:val="2"/>
          <w:sz w:val="24"/>
          <w:szCs w:val="20"/>
          <w:highlight w:val="none"/>
        </w:rPr>
        <w:t>提供《投标人资格声明函》</w:t>
      </w:r>
      <w:r>
        <w:rPr>
          <w:rFonts w:hint="eastAsia" w:ascii="宋体" w:hAnsi="宋体"/>
          <w:color w:val="auto"/>
          <w:kern w:val="2"/>
          <w:sz w:val="24"/>
          <w:szCs w:val="21"/>
          <w:highlight w:val="none"/>
        </w:rPr>
        <w:t>）</w:t>
      </w:r>
    </w:p>
    <w:p>
      <w:pPr>
        <w:numPr>
          <w:ilvl w:val="0"/>
          <w:numId w:val="5"/>
        </w:numPr>
        <w:adjustRightInd/>
        <w:snapToGrid w:val="0"/>
        <w:spacing w:line="360" w:lineRule="auto"/>
        <w:ind w:left="427" w:hanging="427" w:hangingChars="178"/>
        <w:textAlignment w:val="auto"/>
        <w:rPr>
          <w:rFonts w:ascii="宋体" w:hAnsi="宋体"/>
          <w:bCs/>
          <w:color w:val="auto"/>
          <w:kern w:val="2"/>
          <w:sz w:val="24"/>
          <w:highlight w:val="none"/>
        </w:rPr>
      </w:pPr>
      <w:r>
        <w:rPr>
          <w:rFonts w:hint="eastAsia" w:ascii="宋体" w:hAnsi="宋体"/>
          <w:bCs/>
          <w:color w:val="auto"/>
          <w:kern w:val="2"/>
          <w:sz w:val="24"/>
          <w:highlight w:val="none"/>
        </w:rPr>
        <w:t>法律、行政法规规定的其他条件。</w:t>
      </w:r>
      <w:r>
        <w:rPr>
          <w:rFonts w:hint="eastAsia" w:ascii="宋体" w:hAnsi="宋体"/>
          <w:color w:val="auto"/>
          <w:kern w:val="2"/>
          <w:sz w:val="24"/>
          <w:szCs w:val="21"/>
          <w:highlight w:val="none"/>
        </w:rPr>
        <w:t>（</w:t>
      </w:r>
      <w:r>
        <w:rPr>
          <w:rFonts w:hint="eastAsia" w:ascii="宋体" w:hAnsi="宋体"/>
          <w:bCs/>
          <w:color w:val="auto"/>
          <w:kern w:val="2"/>
          <w:sz w:val="24"/>
          <w:szCs w:val="20"/>
          <w:highlight w:val="none"/>
        </w:rPr>
        <w:t>提供《投标人资格声明函》</w:t>
      </w:r>
      <w:r>
        <w:rPr>
          <w:rFonts w:hint="eastAsia" w:ascii="宋体" w:hAnsi="宋体"/>
          <w:color w:val="auto"/>
          <w:kern w:val="2"/>
          <w:sz w:val="24"/>
          <w:szCs w:val="21"/>
          <w:highlight w:val="none"/>
        </w:rPr>
        <w:t>）</w:t>
      </w:r>
    </w:p>
    <w:p>
      <w:pPr>
        <w:adjustRightInd/>
        <w:snapToGrid w:val="0"/>
        <w:spacing w:line="360" w:lineRule="auto"/>
        <w:ind w:left="377" w:hanging="376" w:hangingChars="157"/>
        <w:textAlignment w:val="auto"/>
        <w:rPr>
          <w:rFonts w:ascii="宋体" w:hAnsi="宋体"/>
          <w:color w:val="auto"/>
          <w:kern w:val="2"/>
          <w:sz w:val="24"/>
          <w:highlight w:val="none"/>
        </w:rPr>
      </w:pPr>
      <w:r>
        <w:rPr>
          <w:rFonts w:hint="eastAsia" w:ascii="宋体" w:hAnsi="宋体"/>
          <w:bCs/>
          <w:color w:val="auto"/>
          <w:kern w:val="2"/>
          <w:sz w:val="24"/>
          <w:highlight w:val="none"/>
        </w:rPr>
        <w:t>5</w:t>
      </w:r>
      <w:r>
        <w:rPr>
          <w:rFonts w:ascii="宋体" w:hAnsi="宋体"/>
          <w:bCs/>
          <w:color w:val="auto"/>
          <w:kern w:val="2"/>
          <w:sz w:val="24"/>
          <w:highlight w:val="none"/>
        </w:rPr>
        <w:t xml:space="preserve">. </w:t>
      </w:r>
      <w:r>
        <w:rPr>
          <w:rFonts w:hint="eastAsia" w:ascii="宋体" w:hAnsi="宋体"/>
          <w:bCs/>
          <w:color w:val="auto"/>
          <w:kern w:val="2"/>
          <w:sz w:val="24"/>
          <w:highlight w:val="none"/>
        </w:rPr>
        <w:t>为采购项目提供整体设计、规范编制或者项目管理、监理、检测等服务的供应商，不得再参加该采购项目</w:t>
      </w:r>
      <w:r>
        <w:rPr>
          <w:rFonts w:hint="eastAsia"/>
          <w:bCs/>
          <w:color w:val="auto"/>
          <w:kern w:val="2"/>
          <w:sz w:val="24"/>
          <w:highlight w:val="none"/>
        </w:rPr>
        <w:t>同一合同项下</w:t>
      </w:r>
      <w:r>
        <w:rPr>
          <w:rFonts w:hint="eastAsia" w:ascii="宋体" w:hAnsi="宋体"/>
          <w:bCs/>
          <w:color w:val="auto"/>
          <w:kern w:val="2"/>
          <w:sz w:val="24"/>
          <w:highlight w:val="none"/>
        </w:rPr>
        <w:t>的其他采购活动。</w:t>
      </w:r>
      <w:r>
        <w:rPr>
          <w:rFonts w:hint="eastAsia" w:ascii="宋体" w:hAnsi="宋体"/>
          <w:bCs/>
          <w:color w:val="auto"/>
          <w:kern w:val="2"/>
          <w:sz w:val="24"/>
          <w:szCs w:val="20"/>
          <w:highlight w:val="none"/>
        </w:rPr>
        <w:t>（提供《投标人资格声明函》）</w:t>
      </w:r>
    </w:p>
    <w:p>
      <w:pPr>
        <w:adjustRightInd/>
        <w:snapToGrid w:val="0"/>
        <w:spacing w:line="360" w:lineRule="auto"/>
        <w:ind w:left="377" w:hanging="376" w:hangingChars="157"/>
        <w:textAlignment w:val="auto"/>
        <w:rPr>
          <w:rFonts w:ascii="宋体" w:hAnsi="宋体"/>
          <w:b/>
          <w:color w:val="auto"/>
          <w:kern w:val="2"/>
          <w:sz w:val="24"/>
          <w:highlight w:val="none"/>
        </w:rPr>
      </w:pPr>
      <w:r>
        <w:rPr>
          <w:rFonts w:hint="eastAsia" w:ascii="宋体" w:hAnsi="宋体"/>
          <w:bCs/>
          <w:color w:val="auto"/>
          <w:kern w:val="2"/>
          <w:sz w:val="24"/>
          <w:highlight w:val="none"/>
        </w:rPr>
        <w:t>6</w:t>
      </w:r>
      <w:r>
        <w:rPr>
          <w:rFonts w:ascii="宋体" w:hAnsi="宋体"/>
          <w:bCs/>
          <w:color w:val="auto"/>
          <w:kern w:val="2"/>
          <w:sz w:val="24"/>
          <w:highlight w:val="none"/>
        </w:rPr>
        <w:t xml:space="preserve">. </w:t>
      </w:r>
      <w:r>
        <w:rPr>
          <w:rFonts w:hint="eastAsia" w:ascii="宋体" w:hAnsi="宋体"/>
          <w:bCs/>
          <w:color w:val="auto"/>
          <w:kern w:val="2"/>
          <w:sz w:val="24"/>
          <w:highlight w:val="none"/>
        </w:rPr>
        <w:t>单位负责人为同一人或者存在直接控股、管理关系的不同供应商，不得参加同一合同项下的政府采购活动。</w:t>
      </w:r>
      <w:r>
        <w:rPr>
          <w:rFonts w:hint="eastAsia" w:ascii="宋体" w:hAnsi="宋体"/>
          <w:bCs/>
          <w:color w:val="auto"/>
          <w:kern w:val="2"/>
          <w:sz w:val="24"/>
          <w:szCs w:val="20"/>
          <w:highlight w:val="none"/>
        </w:rPr>
        <w:t>（提供《</w:t>
      </w:r>
      <w:r>
        <w:rPr>
          <w:rFonts w:hint="eastAsia" w:ascii="宋体" w:hAnsi="宋体"/>
          <w:color w:val="auto"/>
          <w:kern w:val="2"/>
          <w:sz w:val="24"/>
          <w:highlight w:val="none"/>
        </w:rPr>
        <w:t>投标人</w:t>
      </w:r>
      <w:r>
        <w:rPr>
          <w:rFonts w:hint="eastAsia" w:ascii="宋体" w:hAnsi="宋体"/>
          <w:bCs/>
          <w:color w:val="auto"/>
          <w:kern w:val="2"/>
          <w:sz w:val="24"/>
          <w:szCs w:val="20"/>
          <w:highlight w:val="none"/>
        </w:rPr>
        <w:t>资格声明函》）</w:t>
      </w:r>
    </w:p>
    <w:p>
      <w:pPr>
        <w:adjustRightInd/>
        <w:snapToGrid w:val="0"/>
        <w:spacing w:line="360" w:lineRule="auto"/>
        <w:ind w:left="377" w:hanging="376" w:hangingChars="157"/>
        <w:textAlignment w:val="auto"/>
        <w:rPr>
          <w:rFonts w:ascii="宋体" w:hAnsi="宋体"/>
          <w:color w:val="auto"/>
          <w:kern w:val="2"/>
          <w:sz w:val="24"/>
          <w:highlight w:val="none"/>
        </w:rPr>
      </w:pPr>
      <w:r>
        <w:rPr>
          <w:rFonts w:hint="eastAsia" w:ascii="宋体" w:hAnsi="宋体"/>
          <w:color w:val="auto"/>
          <w:kern w:val="2"/>
          <w:sz w:val="24"/>
          <w:highlight w:val="none"/>
        </w:rPr>
        <w:t>7</w:t>
      </w:r>
      <w:r>
        <w:rPr>
          <w:rFonts w:ascii="宋体" w:hAnsi="宋体"/>
          <w:color w:val="auto"/>
          <w:kern w:val="2"/>
          <w:sz w:val="24"/>
          <w:highlight w:val="none"/>
        </w:rPr>
        <w:t>. 投标人未被列入“信用中国”网站(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color w:val="auto"/>
          <w:kern w:val="2"/>
          <w:sz w:val="24"/>
          <w:highlight w:val="none"/>
          <w:u w:val="single"/>
        </w:rPr>
        <w:t>www.creditchina.gov.cn</w:t>
      </w:r>
      <w:r>
        <w:rPr>
          <w:rFonts w:ascii="宋体" w:hAnsi="宋体"/>
          <w:color w:val="auto"/>
          <w:kern w:val="2"/>
          <w:sz w:val="24"/>
          <w:highlight w:val="none"/>
          <w:u w:val="single"/>
        </w:rPr>
        <w:fldChar w:fldCharType="end"/>
      </w:r>
      <w:r>
        <w:rPr>
          <w:rFonts w:ascii="宋体" w:hAnsi="宋体"/>
          <w:color w:val="auto"/>
          <w:kern w:val="2"/>
          <w:sz w:val="24"/>
          <w:highlight w:val="none"/>
        </w:rPr>
        <w:t>)</w:t>
      </w:r>
      <w:r>
        <w:rPr>
          <w:rFonts w:hint="eastAsia" w:ascii="宋体" w:hAnsi="宋体"/>
          <w:color w:val="auto"/>
          <w:kern w:val="2"/>
          <w:sz w:val="24"/>
          <w:highlight w:val="none"/>
        </w:rPr>
        <w:t>以下任何记录名单之一：①</w:t>
      </w:r>
      <w:r>
        <w:rPr>
          <w:rFonts w:ascii="宋体" w:hAnsi="宋体"/>
          <w:color w:val="auto"/>
          <w:kern w:val="2"/>
          <w:sz w:val="24"/>
          <w:highlight w:val="none"/>
        </w:rPr>
        <w:t>失信被执行人</w:t>
      </w:r>
      <w:r>
        <w:rPr>
          <w:rFonts w:hint="eastAsia" w:ascii="宋体" w:hAnsi="宋体"/>
          <w:color w:val="auto"/>
          <w:kern w:val="2"/>
          <w:sz w:val="24"/>
          <w:highlight w:val="none"/>
        </w:rPr>
        <w:t>；②</w:t>
      </w:r>
      <w:r>
        <w:rPr>
          <w:rFonts w:ascii="宋体" w:hAnsi="宋体"/>
          <w:color w:val="auto"/>
          <w:kern w:val="2"/>
          <w:sz w:val="24"/>
          <w:highlight w:val="none"/>
        </w:rPr>
        <w:t>重大税收违法案件当事人名单</w:t>
      </w:r>
      <w:r>
        <w:rPr>
          <w:rFonts w:hint="eastAsia" w:ascii="宋体" w:hAnsi="宋体"/>
          <w:color w:val="auto"/>
          <w:kern w:val="2"/>
          <w:sz w:val="24"/>
          <w:highlight w:val="none"/>
        </w:rPr>
        <w:t>；③</w:t>
      </w:r>
      <w:r>
        <w:rPr>
          <w:rFonts w:ascii="宋体" w:hAnsi="宋体"/>
          <w:color w:val="auto"/>
          <w:kern w:val="2"/>
          <w:sz w:val="24"/>
          <w:highlight w:val="none"/>
        </w:rPr>
        <w:t>政府采购严重违法失信行为</w:t>
      </w:r>
      <w:r>
        <w:rPr>
          <w:rFonts w:hint="eastAsia" w:ascii="宋体" w:hAnsi="宋体"/>
          <w:color w:val="auto"/>
          <w:kern w:val="2"/>
          <w:sz w:val="24"/>
          <w:highlight w:val="none"/>
        </w:rPr>
        <w:t>。同时，</w:t>
      </w:r>
      <w:r>
        <w:rPr>
          <w:rFonts w:ascii="宋体" w:hAnsi="宋体"/>
          <w:color w:val="auto"/>
          <w:kern w:val="2"/>
          <w:sz w:val="24"/>
          <w:highlight w:val="none"/>
        </w:rPr>
        <w:t>不处于中国政府采购网(www.ccgp.gov.cn)“政府采购严重违法失信行为信息记录”中的禁止参加政府采购活动期间。（</w:t>
      </w:r>
      <w:r>
        <w:rPr>
          <w:rFonts w:hint="eastAsia" w:ascii="宋体" w:hAnsi="宋体" w:cs="宋体"/>
          <w:color w:val="auto"/>
          <w:kern w:val="2"/>
          <w:sz w:val="24"/>
          <w:highlight w:val="none"/>
        </w:rPr>
        <w:t>说明：</w:t>
      </w:r>
      <w:r>
        <w:rPr>
          <w:rFonts w:hint="eastAsia" w:ascii="宋体" w:hAnsi="宋体"/>
          <w:color w:val="auto"/>
          <w:kern w:val="2"/>
          <w:sz w:val="24"/>
          <w:highlight w:val="none"/>
        </w:rPr>
        <w:t>①由</w:t>
      </w:r>
      <w:r>
        <w:rPr>
          <w:rFonts w:hint="eastAsia" w:ascii="宋体" w:hAnsi="宋体"/>
          <w:color w:val="auto"/>
          <w:kern w:val="2"/>
          <w:sz w:val="24"/>
          <w:szCs w:val="21"/>
          <w:highlight w:val="none"/>
        </w:rPr>
        <w:t>采购人、采购代理机构</w:t>
      </w:r>
      <w:r>
        <w:rPr>
          <w:rFonts w:ascii="宋体" w:hAnsi="宋体"/>
          <w:color w:val="auto"/>
          <w:kern w:val="2"/>
          <w:sz w:val="24"/>
          <w:highlight w:val="none"/>
        </w:rPr>
        <w:t>于</w:t>
      </w:r>
      <w:r>
        <w:rPr>
          <w:rFonts w:hint="eastAsia" w:ascii="宋体" w:hAnsi="宋体"/>
          <w:color w:val="auto"/>
          <w:kern w:val="2"/>
          <w:sz w:val="24"/>
          <w:highlight w:val="none"/>
        </w:rPr>
        <w:t>投标截止日</w:t>
      </w:r>
      <w:r>
        <w:rPr>
          <w:rFonts w:ascii="宋体" w:hAnsi="宋体"/>
          <w:color w:val="auto"/>
          <w:kern w:val="2"/>
          <w:sz w:val="24"/>
          <w:highlight w:val="none"/>
        </w:rPr>
        <w:t>在“信用中国”网站（www.creditchina.gov.cn）及中国政府采购网(www.ccgp.gov.cn)查询结果为准</w:t>
      </w:r>
      <w:r>
        <w:rPr>
          <w:rFonts w:hint="eastAsia" w:ascii="宋体" w:hAnsi="宋体"/>
          <w:color w:val="auto"/>
          <w:kern w:val="2"/>
          <w:sz w:val="24"/>
          <w:highlight w:val="none"/>
        </w:rPr>
        <w:t>，</w:t>
      </w:r>
      <w:r>
        <w:rPr>
          <w:rFonts w:ascii="宋体" w:hAnsi="宋体"/>
          <w:color w:val="auto"/>
          <w:kern w:val="2"/>
          <w:sz w:val="24"/>
          <w:highlight w:val="none"/>
        </w:rPr>
        <w:t>如在上述网站查询结果均显示没有相关记录，视为</w:t>
      </w:r>
      <w:r>
        <w:rPr>
          <w:rFonts w:hint="eastAsia" w:ascii="宋体" w:hAnsi="宋体"/>
          <w:color w:val="auto"/>
          <w:kern w:val="2"/>
          <w:sz w:val="24"/>
          <w:highlight w:val="none"/>
        </w:rPr>
        <w:t>不存在</w:t>
      </w:r>
      <w:r>
        <w:rPr>
          <w:rFonts w:ascii="宋体" w:hAnsi="宋体"/>
          <w:color w:val="auto"/>
          <w:kern w:val="2"/>
          <w:sz w:val="24"/>
          <w:highlight w:val="none"/>
        </w:rPr>
        <w:t>上述不良信用记录。</w:t>
      </w:r>
      <w:r>
        <w:rPr>
          <w:rFonts w:hint="eastAsia" w:ascii="宋体" w:hAnsi="宋体"/>
          <w:color w:val="auto"/>
          <w:kern w:val="2"/>
          <w:sz w:val="24"/>
          <w:highlight w:val="none"/>
        </w:rPr>
        <w:t>②</w:t>
      </w:r>
      <w:r>
        <w:rPr>
          <w:rFonts w:hint="eastAsia" w:ascii="宋体" w:hAnsi="宋体" w:cs="宋体"/>
          <w:color w:val="auto"/>
          <w:kern w:val="2"/>
          <w:sz w:val="24"/>
          <w:highlight w:val="none"/>
        </w:rPr>
        <w:t>采购代理机构同时对信用信息查询记录和证据截图或下载存档</w:t>
      </w:r>
      <w:r>
        <w:rPr>
          <w:rFonts w:hint="eastAsia" w:ascii="宋体" w:hAnsi="宋体"/>
          <w:color w:val="auto"/>
          <w:kern w:val="2"/>
          <w:sz w:val="24"/>
          <w:highlight w:val="none"/>
        </w:rPr>
        <w:t>；③</w:t>
      </w:r>
      <w:r>
        <w:rPr>
          <w:rFonts w:hint="eastAsia" w:hAnsi="宋体"/>
          <w:color w:val="auto"/>
          <w:kern w:val="2"/>
          <w:sz w:val="24"/>
          <w:highlight w:val="none"/>
        </w:rPr>
        <w:t>投标人为分公司的，同时对该分公司所属</w:t>
      </w:r>
      <w:r>
        <w:rPr>
          <w:rFonts w:hint="eastAsia" w:hAnsi="宋体" w:cs="黑体"/>
          <w:color w:val="auto"/>
          <w:kern w:val="2"/>
          <w:sz w:val="24"/>
          <w:highlight w:val="none"/>
        </w:rPr>
        <w:t>总公司</w:t>
      </w:r>
      <w:r>
        <w:rPr>
          <w:rFonts w:hint="eastAsia" w:hAnsi="宋体"/>
          <w:color w:val="auto"/>
          <w:kern w:val="2"/>
          <w:sz w:val="24"/>
          <w:szCs w:val="21"/>
          <w:highlight w:val="none"/>
        </w:rPr>
        <w:t>（总所）进行信用记录查询，</w:t>
      </w:r>
      <w:r>
        <w:rPr>
          <w:rFonts w:hint="eastAsia" w:hAnsi="宋体"/>
          <w:color w:val="auto"/>
          <w:kern w:val="2"/>
          <w:sz w:val="24"/>
          <w:highlight w:val="none"/>
        </w:rPr>
        <w:t>该分公司所属</w:t>
      </w:r>
      <w:r>
        <w:rPr>
          <w:rFonts w:hint="eastAsia" w:hAnsi="宋体" w:cs="黑体"/>
          <w:color w:val="auto"/>
          <w:kern w:val="2"/>
          <w:sz w:val="24"/>
          <w:highlight w:val="none"/>
        </w:rPr>
        <w:t>总公司</w:t>
      </w:r>
      <w:r>
        <w:rPr>
          <w:rFonts w:hint="eastAsia" w:hAnsi="宋体"/>
          <w:color w:val="auto"/>
          <w:kern w:val="2"/>
          <w:sz w:val="24"/>
          <w:szCs w:val="21"/>
          <w:highlight w:val="none"/>
        </w:rPr>
        <w:t>（总所）</w:t>
      </w:r>
      <w:r>
        <w:rPr>
          <w:rFonts w:hAnsi="宋体"/>
          <w:color w:val="auto"/>
          <w:kern w:val="2"/>
          <w:sz w:val="24"/>
          <w:highlight w:val="none"/>
        </w:rPr>
        <w:t>存在</w:t>
      </w:r>
      <w:r>
        <w:rPr>
          <w:rFonts w:hint="eastAsia" w:hAnsi="宋体"/>
          <w:color w:val="auto"/>
          <w:kern w:val="2"/>
          <w:sz w:val="24"/>
          <w:highlight w:val="none"/>
        </w:rPr>
        <w:t>不良信用</w:t>
      </w:r>
      <w:r>
        <w:rPr>
          <w:rFonts w:hAnsi="宋体"/>
          <w:color w:val="auto"/>
          <w:kern w:val="2"/>
          <w:sz w:val="24"/>
          <w:highlight w:val="none"/>
        </w:rPr>
        <w:t>记录的</w:t>
      </w:r>
      <w:r>
        <w:rPr>
          <w:rFonts w:hint="eastAsia" w:hAnsi="宋体"/>
          <w:color w:val="auto"/>
          <w:kern w:val="2"/>
          <w:sz w:val="24"/>
          <w:highlight w:val="none"/>
        </w:rPr>
        <w:t>，视同供应商存在不良信用记录</w:t>
      </w:r>
      <w:r>
        <w:rPr>
          <w:rFonts w:hAnsi="宋体"/>
          <w:color w:val="auto"/>
          <w:kern w:val="2"/>
          <w:sz w:val="24"/>
          <w:highlight w:val="none"/>
        </w:rPr>
        <w:t>。</w:t>
      </w:r>
      <w:r>
        <w:rPr>
          <w:rFonts w:hint="eastAsia" w:ascii="宋体" w:hAnsi="宋体"/>
          <w:color w:val="auto"/>
          <w:kern w:val="2"/>
          <w:sz w:val="24"/>
          <w:highlight w:val="none"/>
        </w:rPr>
        <w:t>）</w:t>
      </w:r>
    </w:p>
    <w:p>
      <w:pPr>
        <w:adjustRightInd/>
        <w:snapToGrid w:val="0"/>
        <w:spacing w:line="360" w:lineRule="auto"/>
        <w:ind w:left="377" w:hanging="376" w:hangingChars="157"/>
        <w:textAlignment w:val="auto"/>
        <w:rPr>
          <w:rFonts w:ascii="宋体" w:hAnsi="宋体"/>
          <w:bCs/>
          <w:color w:val="auto"/>
          <w:kern w:val="2"/>
          <w:sz w:val="24"/>
          <w:highlight w:val="none"/>
        </w:rPr>
      </w:pPr>
      <w:bookmarkStart w:id="4" w:name="_Hlk40950161"/>
      <w:r>
        <w:rPr>
          <w:rFonts w:hint="eastAsia" w:ascii="宋体" w:hAnsi="宋体"/>
          <w:bCs/>
          <w:color w:val="auto"/>
          <w:kern w:val="2"/>
          <w:sz w:val="24"/>
          <w:highlight w:val="none"/>
        </w:rPr>
        <w:t>8</w:t>
      </w:r>
      <w:r>
        <w:rPr>
          <w:rFonts w:ascii="宋体" w:hAnsi="宋体"/>
          <w:bCs/>
          <w:color w:val="auto"/>
          <w:kern w:val="2"/>
          <w:sz w:val="24"/>
          <w:highlight w:val="none"/>
        </w:rPr>
        <w:t xml:space="preserve">. </w:t>
      </w:r>
      <w:r>
        <w:rPr>
          <w:rFonts w:hint="eastAsia" w:ascii="宋体" w:hAnsi="宋体"/>
          <w:bCs/>
          <w:color w:val="auto"/>
          <w:kern w:val="2"/>
          <w:sz w:val="24"/>
          <w:highlight w:val="none"/>
        </w:rPr>
        <w:t>成功购买本纸质招标文件的供应商。</w:t>
      </w:r>
      <w:bookmarkEnd w:id="4"/>
      <w:r>
        <w:rPr>
          <w:rFonts w:hint="eastAsia" w:ascii="宋体" w:hAnsi="宋体"/>
          <w:bCs/>
          <w:color w:val="auto"/>
          <w:kern w:val="2"/>
          <w:sz w:val="24"/>
          <w:highlight w:val="none"/>
        </w:rPr>
        <w:t>（采购代理机构收到供应商缴纳的标书款，视为供应商已成功购买纸质招标文件，符合本条款规定）</w:t>
      </w:r>
    </w:p>
    <w:p>
      <w:pPr>
        <w:numPr>
          <w:ilvl w:val="0"/>
          <w:numId w:val="1"/>
        </w:numPr>
        <w:adjustRightInd/>
        <w:snapToGrid w:val="0"/>
        <w:spacing w:line="360" w:lineRule="auto"/>
        <w:textAlignment w:val="auto"/>
        <w:rPr>
          <w:rFonts w:ascii="宋体" w:hAnsi="宋体" w:cs="仿宋_GB2312"/>
          <w:b/>
          <w:bCs/>
          <w:color w:val="auto"/>
          <w:kern w:val="2"/>
          <w:sz w:val="24"/>
          <w:highlight w:val="none"/>
        </w:rPr>
      </w:pPr>
      <w:r>
        <w:rPr>
          <w:rFonts w:hint="eastAsia" w:ascii="宋体" w:hAnsi="宋体" w:cs="仿宋_GB2312"/>
          <w:b/>
          <w:bCs/>
          <w:color w:val="auto"/>
          <w:kern w:val="2"/>
          <w:sz w:val="24"/>
          <w:highlight w:val="none"/>
        </w:rPr>
        <w:t>获取招标文件</w:t>
      </w:r>
    </w:p>
    <w:p>
      <w:pPr>
        <w:adjustRightInd/>
        <w:snapToGrid w:val="0"/>
        <w:spacing w:line="360" w:lineRule="auto"/>
        <w:ind w:left="142"/>
        <w:textAlignment w:val="auto"/>
        <w:rPr>
          <w:rFonts w:ascii="宋体" w:hAnsi="宋体" w:cs="宋体"/>
          <w:color w:val="auto"/>
          <w:kern w:val="2"/>
          <w:sz w:val="24"/>
          <w:highlight w:val="none"/>
        </w:rPr>
      </w:pPr>
      <w:r>
        <w:rPr>
          <w:rFonts w:hint="eastAsia" w:ascii="宋体" w:hAnsi="宋体" w:cs="宋体"/>
          <w:color w:val="auto"/>
          <w:kern w:val="2"/>
          <w:sz w:val="24"/>
          <w:highlight w:val="none"/>
        </w:rPr>
        <w:t>时间：</w:t>
      </w:r>
      <w:r>
        <w:rPr>
          <w:rFonts w:hint="eastAsia" w:ascii="宋体" w:hAnsi="宋体" w:cs="宋体"/>
          <w:color w:val="auto"/>
          <w:kern w:val="2"/>
          <w:sz w:val="24"/>
          <w:highlight w:val="none"/>
          <w:u w:val="single"/>
        </w:rPr>
        <w:t>202</w:t>
      </w:r>
      <w:r>
        <w:rPr>
          <w:rFonts w:hint="eastAsia" w:ascii="宋体" w:hAnsi="宋体" w:cs="宋体"/>
          <w:color w:val="auto"/>
          <w:kern w:val="2"/>
          <w:sz w:val="24"/>
          <w:highlight w:val="none"/>
          <w:u w:val="single"/>
          <w:lang w:val="en-US" w:eastAsia="zh-CN"/>
        </w:rPr>
        <w:t>2</w:t>
      </w:r>
      <w:r>
        <w:rPr>
          <w:rFonts w:hint="eastAsia" w:ascii="宋体" w:hAnsi="宋体" w:cs="宋体"/>
          <w:color w:val="auto"/>
          <w:kern w:val="2"/>
          <w:sz w:val="24"/>
          <w:highlight w:val="none"/>
        </w:rPr>
        <w:t>年</w:t>
      </w:r>
      <w:r>
        <w:rPr>
          <w:rFonts w:hint="eastAsia" w:ascii="宋体" w:hAnsi="宋体" w:cs="宋体"/>
          <w:color w:val="auto"/>
          <w:kern w:val="2"/>
          <w:sz w:val="24"/>
          <w:highlight w:val="none"/>
          <w:u w:val="single"/>
          <w:lang w:val="en-US" w:eastAsia="zh-CN"/>
        </w:rPr>
        <w:t>1</w:t>
      </w:r>
      <w:r>
        <w:rPr>
          <w:rFonts w:hint="eastAsia" w:ascii="宋体" w:hAnsi="宋体" w:cs="宋体"/>
          <w:color w:val="auto"/>
          <w:kern w:val="2"/>
          <w:sz w:val="24"/>
          <w:highlight w:val="none"/>
        </w:rPr>
        <w:t>月</w:t>
      </w:r>
      <w:r>
        <w:rPr>
          <w:rFonts w:hint="eastAsia" w:ascii="宋体" w:hAnsi="宋体" w:cs="宋体"/>
          <w:color w:val="auto"/>
          <w:kern w:val="2"/>
          <w:sz w:val="24"/>
          <w:highlight w:val="none"/>
          <w:u w:val="single"/>
          <w:lang w:val="en-US" w:eastAsia="zh-CN"/>
        </w:rPr>
        <w:t>12</w:t>
      </w:r>
      <w:r>
        <w:rPr>
          <w:rFonts w:hint="eastAsia" w:ascii="宋体" w:hAnsi="宋体" w:cs="宋体"/>
          <w:color w:val="auto"/>
          <w:kern w:val="2"/>
          <w:sz w:val="24"/>
          <w:highlight w:val="none"/>
        </w:rPr>
        <w:t>日至</w:t>
      </w:r>
      <w:r>
        <w:rPr>
          <w:rFonts w:hint="eastAsia" w:ascii="宋体" w:hAnsi="宋体" w:cs="宋体"/>
          <w:color w:val="auto"/>
          <w:kern w:val="2"/>
          <w:sz w:val="24"/>
          <w:highlight w:val="none"/>
          <w:u w:val="single"/>
          <w:lang w:val="en-US" w:eastAsia="zh-CN"/>
        </w:rPr>
        <w:t>2022</w:t>
      </w:r>
      <w:r>
        <w:rPr>
          <w:rFonts w:hint="eastAsia" w:ascii="宋体" w:hAnsi="宋体" w:cs="宋体"/>
          <w:color w:val="auto"/>
          <w:kern w:val="2"/>
          <w:sz w:val="24"/>
          <w:highlight w:val="none"/>
        </w:rPr>
        <w:t>年</w:t>
      </w:r>
      <w:r>
        <w:rPr>
          <w:rFonts w:hint="eastAsia" w:ascii="宋体" w:hAnsi="宋体" w:cs="宋体"/>
          <w:color w:val="auto"/>
          <w:kern w:val="2"/>
          <w:sz w:val="24"/>
          <w:highlight w:val="none"/>
          <w:u w:val="single"/>
          <w:lang w:val="en-US" w:eastAsia="zh-CN"/>
        </w:rPr>
        <w:t>1</w:t>
      </w:r>
      <w:r>
        <w:rPr>
          <w:rFonts w:hint="eastAsia" w:ascii="宋体" w:hAnsi="宋体" w:cs="宋体"/>
          <w:color w:val="auto"/>
          <w:kern w:val="2"/>
          <w:sz w:val="24"/>
          <w:highlight w:val="none"/>
        </w:rPr>
        <w:t>月</w:t>
      </w:r>
      <w:r>
        <w:rPr>
          <w:rFonts w:hint="eastAsia" w:ascii="宋体" w:hAnsi="宋体" w:cs="宋体"/>
          <w:color w:val="auto"/>
          <w:kern w:val="2"/>
          <w:sz w:val="24"/>
          <w:highlight w:val="none"/>
          <w:u w:val="single"/>
          <w:lang w:val="en-US" w:eastAsia="zh-CN"/>
        </w:rPr>
        <w:t>19</w:t>
      </w:r>
      <w:r>
        <w:rPr>
          <w:rFonts w:hint="eastAsia" w:ascii="宋体" w:hAnsi="宋体" w:cs="宋体"/>
          <w:color w:val="auto"/>
          <w:kern w:val="2"/>
          <w:sz w:val="24"/>
          <w:highlight w:val="none"/>
        </w:rPr>
        <w:t>日</w:t>
      </w:r>
      <w:r>
        <w:rPr>
          <w:rFonts w:hint="eastAsia" w:ascii="宋体" w:hAnsi="宋体" w:cs="仿宋_GB2312"/>
          <w:color w:val="auto"/>
          <w:kern w:val="2"/>
          <w:sz w:val="24"/>
          <w:highlight w:val="none"/>
        </w:rPr>
        <w:t>（提供期限自本公告发布之日起不得少于5个工作日），</w:t>
      </w:r>
      <w:r>
        <w:rPr>
          <w:rFonts w:hint="eastAsia" w:ascii="宋体" w:hAnsi="宋体" w:cs="宋体"/>
          <w:color w:val="auto"/>
          <w:kern w:val="2"/>
          <w:sz w:val="24"/>
          <w:highlight w:val="none"/>
        </w:rPr>
        <w:t>每天上午</w:t>
      </w:r>
      <w:r>
        <w:rPr>
          <w:rFonts w:ascii="宋体" w:hAnsi="宋体" w:cs="宋体"/>
          <w:color w:val="auto"/>
          <w:kern w:val="2"/>
          <w:sz w:val="24"/>
          <w:highlight w:val="none"/>
        </w:rPr>
        <w:t>9:00</w:t>
      </w:r>
      <w:r>
        <w:rPr>
          <w:rFonts w:hint="eastAsia" w:ascii="宋体" w:hAnsi="宋体" w:cs="宋体"/>
          <w:color w:val="auto"/>
          <w:kern w:val="2"/>
          <w:sz w:val="24"/>
          <w:highlight w:val="none"/>
        </w:rPr>
        <w:t>至</w:t>
      </w:r>
      <w:r>
        <w:rPr>
          <w:rFonts w:ascii="宋体" w:hAnsi="宋体" w:cs="宋体"/>
          <w:color w:val="auto"/>
          <w:kern w:val="2"/>
          <w:sz w:val="24"/>
          <w:highlight w:val="none"/>
        </w:rPr>
        <w:t>12:00</w:t>
      </w:r>
      <w:r>
        <w:rPr>
          <w:rFonts w:hint="eastAsia" w:ascii="宋体" w:hAnsi="宋体" w:cs="宋体"/>
          <w:color w:val="auto"/>
          <w:kern w:val="2"/>
          <w:sz w:val="24"/>
          <w:highlight w:val="none"/>
        </w:rPr>
        <w:t>，下午</w:t>
      </w:r>
      <w:r>
        <w:rPr>
          <w:rFonts w:ascii="宋体" w:hAnsi="宋体" w:cs="宋体"/>
          <w:color w:val="auto"/>
          <w:kern w:val="2"/>
          <w:sz w:val="24"/>
          <w:highlight w:val="none"/>
        </w:rPr>
        <w:t>14:30</w:t>
      </w:r>
      <w:r>
        <w:rPr>
          <w:rFonts w:hint="eastAsia" w:ascii="宋体" w:hAnsi="宋体" w:cs="宋体"/>
          <w:color w:val="auto"/>
          <w:kern w:val="2"/>
          <w:sz w:val="24"/>
          <w:highlight w:val="none"/>
        </w:rPr>
        <w:t>至</w:t>
      </w:r>
      <w:r>
        <w:rPr>
          <w:rFonts w:ascii="宋体" w:hAnsi="宋体" w:cs="宋体"/>
          <w:color w:val="auto"/>
          <w:kern w:val="2"/>
          <w:sz w:val="24"/>
          <w:highlight w:val="none"/>
        </w:rPr>
        <w:t>17:30</w:t>
      </w:r>
      <w:r>
        <w:rPr>
          <w:rFonts w:hint="eastAsia" w:ascii="宋体" w:hAnsi="宋体" w:cs="宋体"/>
          <w:color w:val="auto"/>
          <w:kern w:val="2"/>
          <w:sz w:val="24"/>
          <w:highlight w:val="none"/>
        </w:rPr>
        <w:t>（北京时间，</w:t>
      </w:r>
      <w:r>
        <w:rPr>
          <w:rFonts w:ascii="宋体" w:hAnsi="宋体" w:cs="宋体"/>
          <w:color w:val="auto"/>
          <w:kern w:val="2"/>
          <w:sz w:val="24"/>
          <w:highlight w:val="none"/>
        </w:rPr>
        <w:t>法定节假日</w:t>
      </w:r>
      <w:r>
        <w:rPr>
          <w:rFonts w:hint="eastAsia" w:ascii="宋体" w:hAnsi="宋体" w:cs="宋体"/>
          <w:color w:val="auto"/>
          <w:kern w:val="2"/>
          <w:sz w:val="24"/>
          <w:highlight w:val="none"/>
        </w:rPr>
        <w:t>除外）</w:t>
      </w:r>
    </w:p>
    <w:p>
      <w:pPr>
        <w:adjustRightInd/>
        <w:snapToGrid w:val="0"/>
        <w:spacing w:line="360" w:lineRule="auto"/>
        <w:ind w:left="142"/>
        <w:textAlignment w:val="auto"/>
        <w:rPr>
          <w:rFonts w:hint="eastAsia" w:ascii="宋体" w:hAnsi="宋体" w:eastAsia="宋体" w:cs="仿宋_GB2312"/>
          <w:i/>
          <w:iCs/>
          <w:color w:val="auto"/>
          <w:kern w:val="2"/>
          <w:sz w:val="24"/>
          <w:highlight w:val="none"/>
          <w:lang w:val="en-US" w:eastAsia="zh-CN"/>
        </w:rPr>
      </w:pPr>
      <w:r>
        <w:rPr>
          <w:rFonts w:hint="eastAsia" w:ascii="宋体" w:hAnsi="宋体" w:cs="宋体"/>
          <w:color w:val="auto"/>
          <w:kern w:val="2"/>
          <w:sz w:val="24"/>
          <w:highlight w:val="none"/>
        </w:rPr>
        <w:t>地点：</w:t>
      </w:r>
      <w:r>
        <w:rPr>
          <w:rFonts w:hint="eastAsia" w:ascii="宋体" w:hAnsi="宋体" w:cs="宋体"/>
          <w:color w:val="auto"/>
          <w:sz w:val="24"/>
          <w:highlight w:val="none"/>
          <w:u w:val="single"/>
          <w:lang w:eastAsia="zh-CN"/>
        </w:rPr>
        <w:t>山东省济南市高新区天辰路2177号联合财富广场2号楼3楼开标室</w:t>
      </w:r>
    </w:p>
    <w:p>
      <w:pPr>
        <w:adjustRightInd/>
        <w:snapToGrid w:val="0"/>
        <w:spacing w:line="360" w:lineRule="auto"/>
        <w:ind w:left="142"/>
        <w:textAlignment w:val="auto"/>
        <w:rPr>
          <w:rFonts w:ascii="宋体" w:hAnsi="宋体" w:cs="宋体"/>
          <w:color w:val="auto"/>
          <w:kern w:val="2"/>
          <w:sz w:val="24"/>
          <w:highlight w:val="none"/>
        </w:rPr>
      </w:pPr>
      <w:r>
        <w:rPr>
          <w:rFonts w:hint="eastAsia" w:ascii="宋体" w:hAnsi="宋体" w:cs="宋体"/>
          <w:color w:val="auto"/>
          <w:kern w:val="2"/>
          <w:sz w:val="24"/>
          <w:highlight w:val="none"/>
        </w:rPr>
        <w:t>方式：详见“六、其他补充事宜”</w:t>
      </w:r>
    </w:p>
    <w:p>
      <w:pPr>
        <w:adjustRightInd/>
        <w:snapToGrid w:val="0"/>
        <w:spacing w:line="360" w:lineRule="auto"/>
        <w:ind w:left="142"/>
        <w:textAlignment w:val="auto"/>
        <w:rPr>
          <w:rFonts w:ascii="宋体" w:hAnsi="宋体" w:cs="仿宋_GB2312"/>
          <w:color w:val="auto"/>
          <w:kern w:val="2"/>
          <w:sz w:val="24"/>
          <w:highlight w:val="none"/>
          <w:u w:val="single"/>
        </w:rPr>
      </w:pPr>
      <w:r>
        <w:rPr>
          <w:rFonts w:hint="eastAsia" w:ascii="宋体" w:hAnsi="宋体" w:cs="宋体"/>
          <w:color w:val="auto"/>
          <w:kern w:val="2"/>
          <w:sz w:val="24"/>
          <w:highlight w:val="none"/>
        </w:rPr>
        <w:t>售价</w:t>
      </w:r>
      <w:r>
        <w:rPr>
          <w:rFonts w:hint="eastAsia" w:ascii="宋体" w:hAnsi="宋体" w:cs="仿宋_GB2312"/>
          <w:color w:val="auto"/>
          <w:kern w:val="2"/>
          <w:sz w:val="24"/>
          <w:highlight w:val="none"/>
        </w:rPr>
        <w:t>（元）：</w:t>
      </w:r>
      <w:r>
        <w:rPr>
          <w:rFonts w:hint="eastAsia" w:ascii="宋体" w:hAnsi="宋体"/>
          <w:color w:val="auto"/>
          <w:kern w:val="2"/>
          <w:sz w:val="24"/>
          <w:highlight w:val="none"/>
          <w:u w:val="single"/>
        </w:rPr>
        <w:t>500</w:t>
      </w:r>
    </w:p>
    <w:p>
      <w:pPr>
        <w:numPr>
          <w:ilvl w:val="0"/>
          <w:numId w:val="1"/>
        </w:numPr>
        <w:adjustRightInd/>
        <w:snapToGrid w:val="0"/>
        <w:spacing w:line="360" w:lineRule="auto"/>
        <w:textAlignment w:val="auto"/>
        <w:rPr>
          <w:rFonts w:ascii="宋体" w:hAnsi="宋体" w:cs="仿宋_GB2312"/>
          <w:b/>
          <w:bCs/>
          <w:color w:val="auto"/>
          <w:kern w:val="2"/>
          <w:sz w:val="24"/>
          <w:highlight w:val="none"/>
        </w:rPr>
      </w:pPr>
      <w:r>
        <w:rPr>
          <w:rFonts w:hint="eastAsia" w:ascii="宋体" w:hAnsi="宋体" w:cs="仿宋_GB2312"/>
          <w:b/>
          <w:bCs/>
          <w:color w:val="auto"/>
          <w:kern w:val="2"/>
          <w:sz w:val="24"/>
          <w:highlight w:val="none"/>
        </w:rPr>
        <w:t>提交投标文件截止时间、开标时间和地点</w:t>
      </w:r>
    </w:p>
    <w:p>
      <w:pPr>
        <w:adjustRightInd/>
        <w:snapToGrid w:val="0"/>
        <w:spacing w:line="360" w:lineRule="auto"/>
        <w:ind w:left="400" w:leftChars="200" w:firstLine="0" w:firstLineChars="0"/>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u w:val="single"/>
          <w:lang w:eastAsia="zh-CN"/>
        </w:rPr>
        <w:t>2022</w:t>
      </w:r>
      <w:r>
        <w:rPr>
          <w:rFonts w:hint="eastAsia" w:ascii="宋体" w:hAnsi="宋体" w:cs="仿宋_GB2312"/>
          <w:color w:val="auto"/>
          <w:kern w:val="2"/>
          <w:sz w:val="24"/>
          <w:highlight w:val="none"/>
          <w:u w:val="none"/>
          <w:lang w:eastAsia="zh-CN"/>
        </w:rPr>
        <w:t>年</w:t>
      </w:r>
      <w:r>
        <w:rPr>
          <w:rFonts w:hint="eastAsia" w:ascii="宋体" w:hAnsi="宋体" w:cs="仿宋_GB2312"/>
          <w:color w:val="auto"/>
          <w:kern w:val="2"/>
          <w:sz w:val="24"/>
          <w:highlight w:val="none"/>
          <w:u w:val="single"/>
          <w:lang w:eastAsia="zh-CN"/>
        </w:rPr>
        <w:t>2</w:t>
      </w:r>
      <w:r>
        <w:rPr>
          <w:rFonts w:hint="eastAsia" w:ascii="宋体" w:hAnsi="宋体" w:cs="仿宋_GB2312"/>
          <w:color w:val="auto"/>
          <w:kern w:val="2"/>
          <w:sz w:val="24"/>
          <w:highlight w:val="none"/>
          <w:u w:val="none"/>
          <w:lang w:eastAsia="zh-CN"/>
        </w:rPr>
        <w:t>月</w:t>
      </w:r>
      <w:r>
        <w:rPr>
          <w:rFonts w:hint="eastAsia" w:ascii="宋体" w:hAnsi="宋体" w:cs="仿宋_GB2312"/>
          <w:color w:val="auto"/>
          <w:kern w:val="2"/>
          <w:sz w:val="24"/>
          <w:highlight w:val="none"/>
          <w:u w:val="single"/>
          <w:lang w:eastAsia="zh-CN"/>
        </w:rPr>
        <w:t>10</w:t>
      </w:r>
      <w:r>
        <w:rPr>
          <w:rFonts w:hint="eastAsia" w:ascii="宋体" w:hAnsi="宋体" w:cs="仿宋_GB2312"/>
          <w:color w:val="auto"/>
          <w:kern w:val="2"/>
          <w:sz w:val="24"/>
          <w:highlight w:val="none"/>
          <w:u w:val="none"/>
          <w:lang w:eastAsia="zh-CN"/>
        </w:rPr>
        <w:t>日</w:t>
      </w:r>
      <w:r>
        <w:rPr>
          <w:rFonts w:hint="eastAsia" w:ascii="宋体" w:hAnsi="宋体" w:cs="仿宋_GB2312"/>
          <w:color w:val="auto"/>
          <w:kern w:val="2"/>
          <w:sz w:val="24"/>
          <w:highlight w:val="none"/>
          <w:u w:val="single"/>
          <w:lang w:val="en-US" w:eastAsia="zh-CN"/>
        </w:rPr>
        <w:t>09</w:t>
      </w:r>
      <w:r>
        <w:rPr>
          <w:rFonts w:hint="eastAsia" w:ascii="宋体" w:hAnsi="宋体" w:cs="仿宋_GB2312"/>
          <w:color w:val="auto"/>
          <w:kern w:val="2"/>
          <w:sz w:val="24"/>
          <w:highlight w:val="none"/>
        </w:rPr>
        <w:t>点</w:t>
      </w:r>
      <w:r>
        <w:rPr>
          <w:rFonts w:hint="default" w:ascii="宋体" w:hAnsi="宋体" w:cs="仿宋_GB2312"/>
          <w:color w:val="auto"/>
          <w:kern w:val="2"/>
          <w:sz w:val="24"/>
          <w:highlight w:val="none"/>
          <w:u w:val="single"/>
          <w:lang w:eastAsia="zh-CN"/>
        </w:rPr>
        <w:t>3</w:t>
      </w:r>
      <w:r>
        <w:rPr>
          <w:rFonts w:hint="eastAsia" w:ascii="宋体" w:hAnsi="宋体" w:cs="仿宋_GB2312"/>
          <w:color w:val="auto"/>
          <w:kern w:val="2"/>
          <w:sz w:val="24"/>
          <w:highlight w:val="none"/>
          <w:u w:val="single"/>
          <w:lang w:val="en-US" w:eastAsia="zh-CN"/>
        </w:rPr>
        <w:t>0</w:t>
      </w:r>
      <w:r>
        <w:rPr>
          <w:rFonts w:hint="eastAsia" w:ascii="宋体" w:hAnsi="宋体" w:cs="仿宋_GB2312"/>
          <w:color w:val="auto"/>
          <w:kern w:val="2"/>
          <w:sz w:val="24"/>
          <w:highlight w:val="none"/>
        </w:rPr>
        <w:t>分</w:t>
      </w:r>
      <w:r>
        <w:rPr>
          <w:rFonts w:hint="eastAsia" w:ascii="宋体" w:hAnsi="宋体" w:cs="仿宋_GB2312"/>
          <w:color w:val="auto"/>
          <w:kern w:val="2"/>
          <w:sz w:val="24"/>
          <w:highlight w:val="none"/>
          <w:lang w:eastAsia="zh-CN"/>
        </w:rPr>
        <w:t>（</w:t>
      </w:r>
      <w:r>
        <w:rPr>
          <w:rFonts w:hint="eastAsia" w:ascii="宋体" w:hAnsi="宋体" w:cs="仿宋_GB2312"/>
          <w:color w:val="auto"/>
          <w:kern w:val="2"/>
          <w:sz w:val="24"/>
          <w:highlight w:val="none"/>
        </w:rPr>
        <w:t xml:space="preserve">北京时间）（自招标文件开始发出之日起至投标人提交投标文件截止之日止，不得少于20日） </w:t>
      </w:r>
    </w:p>
    <w:p>
      <w:pPr>
        <w:adjustRightInd/>
        <w:snapToGrid w:val="0"/>
        <w:spacing w:line="360" w:lineRule="auto"/>
        <w:ind w:left="400" w:leftChars="200" w:firstLine="0" w:firstLineChars="0"/>
        <w:textAlignment w:val="auto"/>
        <w:rPr>
          <w:rFonts w:hint="default" w:ascii="宋体" w:hAnsi="宋体" w:eastAsia="宋体" w:cs="仿宋_GB2312"/>
          <w:color w:val="auto"/>
          <w:kern w:val="2"/>
          <w:sz w:val="24"/>
          <w:highlight w:val="none"/>
          <w:lang w:val="en-US" w:eastAsia="zh-CN"/>
        </w:rPr>
      </w:pPr>
      <w:r>
        <w:rPr>
          <w:rFonts w:hint="eastAsia" w:ascii="宋体" w:hAnsi="宋体" w:cs="仿宋_GB2312"/>
          <w:color w:val="auto"/>
          <w:kern w:val="2"/>
          <w:sz w:val="24"/>
          <w:highlight w:val="none"/>
        </w:rPr>
        <w:t>地点：</w:t>
      </w:r>
      <w:r>
        <w:rPr>
          <w:rFonts w:hint="eastAsia" w:ascii="宋体" w:hAnsi="宋体" w:cs="仿宋_GB2312"/>
          <w:color w:val="auto"/>
          <w:kern w:val="2"/>
          <w:sz w:val="24"/>
          <w:highlight w:val="none"/>
          <w:u w:val="single"/>
          <w:lang w:eastAsia="zh-CN"/>
        </w:rPr>
        <w:t>山东省济南市高新区天辰路2177号联合财富广场2号楼3楼开标室</w:t>
      </w:r>
    </w:p>
    <w:p>
      <w:pPr>
        <w:numPr>
          <w:ilvl w:val="0"/>
          <w:numId w:val="1"/>
        </w:numPr>
        <w:adjustRightInd/>
        <w:snapToGrid w:val="0"/>
        <w:spacing w:line="360" w:lineRule="auto"/>
        <w:textAlignment w:val="auto"/>
        <w:rPr>
          <w:rFonts w:ascii="宋体" w:hAnsi="宋体" w:cs="仿宋_GB2312"/>
          <w:b/>
          <w:bCs/>
          <w:color w:val="auto"/>
          <w:kern w:val="2"/>
          <w:sz w:val="24"/>
          <w:highlight w:val="none"/>
        </w:rPr>
      </w:pPr>
      <w:r>
        <w:rPr>
          <w:rFonts w:hint="eastAsia" w:ascii="宋体" w:hAnsi="宋体" w:cs="仿宋_GB2312"/>
          <w:b/>
          <w:bCs/>
          <w:color w:val="auto"/>
          <w:kern w:val="2"/>
          <w:sz w:val="24"/>
          <w:highlight w:val="none"/>
        </w:rPr>
        <w:t>公告期限</w:t>
      </w:r>
    </w:p>
    <w:p>
      <w:pPr>
        <w:adjustRightInd/>
        <w:snapToGrid w:val="0"/>
        <w:spacing w:line="360" w:lineRule="auto"/>
        <w:ind w:firstLine="480" w:firstLineChars="200"/>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自本公告发布之日起5个工作日。自</w:t>
      </w:r>
      <w:r>
        <w:rPr>
          <w:rFonts w:hint="eastAsia" w:ascii="宋体" w:hAnsi="宋体" w:cs="仿宋_GB2312"/>
          <w:color w:val="auto"/>
          <w:kern w:val="2"/>
          <w:sz w:val="24"/>
          <w:highlight w:val="none"/>
          <w:u w:val="single"/>
        </w:rPr>
        <w:t>202</w:t>
      </w:r>
      <w:r>
        <w:rPr>
          <w:rFonts w:hint="eastAsia" w:ascii="宋体" w:hAnsi="宋体" w:cs="仿宋_GB2312"/>
          <w:color w:val="auto"/>
          <w:kern w:val="2"/>
          <w:sz w:val="24"/>
          <w:highlight w:val="none"/>
          <w:u w:val="single"/>
          <w:lang w:val="en-US" w:eastAsia="zh-CN"/>
        </w:rPr>
        <w:t>2</w:t>
      </w:r>
      <w:r>
        <w:rPr>
          <w:rFonts w:hint="eastAsia" w:ascii="宋体" w:hAnsi="宋体" w:cs="仿宋_GB2312"/>
          <w:color w:val="auto"/>
          <w:kern w:val="2"/>
          <w:sz w:val="24"/>
          <w:highlight w:val="none"/>
        </w:rPr>
        <w:t>年</w:t>
      </w:r>
      <w:r>
        <w:rPr>
          <w:rFonts w:hint="eastAsia" w:ascii="宋体" w:hAnsi="宋体" w:cs="仿宋_GB2312"/>
          <w:color w:val="auto"/>
          <w:kern w:val="2"/>
          <w:sz w:val="24"/>
          <w:highlight w:val="none"/>
          <w:u w:val="single"/>
          <w:lang w:val="en-US" w:eastAsia="zh-CN"/>
        </w:rPr>
        <w:t>1</w:t>
      </w:r>
      <w:r>
        <w:rPr>
          <w:rFonts w:hint="eastAsia" w:ascii="宋体" w:hAnsi="宋体" w:cs="仿宋_GB2312"/>
          <w:color w:val="auto"/>
          <w:kern w:val="2"/>
          <w:sz w:val="24"/>
          <w:highlight w:val="none"/>
        </w:rPr>
        <w:t>月</w:t>
      </w:r>
      <w:r>
        <w:rPr>
          <w:rFonts w:hint="eastAsia" w:ascii="宋体" w:hAnsi="宋体" w:cs="仿宋_GB2312"/>
          <w:color w:val="auto"/>
          <w:kern w:val="2"/>
          <w:sz w:val="24"/>
          <w:highlight w:val="none"/>
          <w:u w:val="single"/>
          <w:lang w:val="en-US" w:eastAsia="zh-CN"/>
        </w:rPr>
        <w:t>13</w:t>
      </w:r>
      <w:r>
        <w:rPr>
          <w:rFonts w:hint="eastAsia" w:ascii="宋体" w:hAnsi="宋体" w:cs="仿宋_GB2312"/>
          <w:color w:val="auto"/>
          <w:kern w:val="2"/>
          <w:sz w:val="24"/>
          <w:highlight w:val="none"/>
        </w:rPr>
        <w:t>日至</w:t>
      </w:r>
      <w:r>
        <w:rPr>
          <w:rFonts w:hint="eastAsia" w:ascii="宋体" w:hAnsi="宋体" w:cs="仿宋_GB2312"/>
          <w:color w:val="auto"/>
          <w:kern w:val="2"/>
          <w:sz w:val="24"/>
          <w:highlight w:val="none"/>
          <w:u w:val="single"/>
        </w:rPr>
        <w:t>202</w:t>
      </w:r>
      <w:r>
        <w:rPr>
          <w:rFonts w:hint="eastAsia" w:ascii="宋体" w:hAnsi="宋体" w:cs="仿宋_GB2312"/>
          <w:color w:val="auto"/>
          <w:kern w:val="2"/>
          <w:sz w:val="24"/>
          <w:highlight w:val="none"/>
          <w:u w:val="single"/>
          <w:lang w:val="en-US" w:eastAsia="zh-CN"/>
        </w:rPr>
        <w:t>2</w:t>
      </w:r>
      <w:r>
        <w:rPr>
          <w:rFonts w:hint="eastAsia" w:ascii="宋体" w:hAnsi="宋体" w:cs="仿宋_GB2312"/>
          <w:color w:val="auto"/>
          <w:kern w:val="2"/>
          <w:sz w:val="24"/>
          <w:highlight w:val="none"/>
        </w:rPr>
        <w:t>年</w:t>
      </w:r>
      <w:r>
        <w:rPr>
          <w:rFonts w:hint="eastAsia" w:ascii="宋体" w:hAnsi="宋体" w:cs="仿宋_GB2312"/>
          <w:color w:val="auto"/>
          <w:kern w:val="2"/>
          <w:sz w:val="24"/>
          <w:highlight w:val="none"/>
          <w:u w:val="single"/>
          <w:lang w:val="en-US" w:eastAsia="zh-CN"/>
        </w:rPr>
        <w:t>1</w:t>
      </w:r>
      <w:r>
        <w:rPr>
          <w:rFonts w:hint="eastAsia" w:ascii="宋体" w:hAnsi="宋体" w:cs="仿宋_GB2312"/>
          <w:color w:val="auto"/>
          <w:kern w:val="2"/>
          <w:sz w:val="24"/>
          <w:highlight w:val="none"/>
        </w:rPr>
        <w:t>月</w:t>
      </w:r>
      <w:r>
        <w:rPr>
          <w:rFonts w:hint="eastAsia" w:ascii="宋体" w:hAnsi="宋体" w:cs="仿宋_GB2312"/>
          <w:color w:val="auto"/>
          <w:kern w:val="2"/>
          <w:sz w:val="24"/>
          <w:highlight w:val="none"/>
          <w:u w:val="single"/>
          <w:lang w:val="en-US" w:eastAsia="zh-CN"/>
        </w:rPr>
        <w:t>19</w:t>
      </w:r>
      <w:r>
        <w:rPr>
          <w:rFonts w:hint="eastAsia" w:ascii="宋体" w:hAnsi="宋体" w:cs="仿宋_GB2312"/>
          <w:color w:val="auto"/>
          <w:kern w:val="2"/>
          <w:sz w:val="24"/>
          <w:highlight w:val="none"/>
        </w:rPr>
        <w:t>日止。</w:t>
      </w:r>
    </w:p>
    <w:p>
      <w:pPr>
        <w:numPr>
          <w:ilvl w:val="0"/>
          <w:numId w:val="1"/>
        </w:numPr>
        <w:adjustRightInd/>
        <w:snapToGrid w:val="0"/>
        <w:spacing w:line="360" w:lineRule="auto"/>
        <w:textAlignment w:val="auto"/>
        <w:rPr>
          <w:rFonts w:ascii="宋体" w:hAnsi="宋体" w:cs="仿宋_GB2312"/>
          <w:b/>
          <w:bCs/>
          <w:color w:val="auto"/>
          <w:kern w:val="2"/>
          <w:sz w:val="24"/>
          <w:highlight w:val="none"/>
        </w:rPr>
      </w:pPr>
      <w:r>
        <w:rPr>
          <w:rFonts w:hint="eastAsia" w:ascii="宋体" w:hAnsi="宋体" w:cs="仿宋_GB2312"/>
          <w:b/>
          <w:bCs/>
          <w:color w:val="auto"/>
          <w:kern w:val="2"/>
          <w:sz w:val="24"/>
          <w:highlight w:val="none"/>
        </w:rPr>
        <w:t>其他补充事宜</w:t>
      </w:r>
    </w:p>
    <w:p>
      <w:pPr>
        <w:numPr>
          <w:ilvl w:val="0"/>
          <w:numId w:val="6"/>
        </w:numPr>
        <w:adjustRightInd/>
        <w:snapToGrid w:val="0"/>
        <w:spacing w:line="360" w:lineRule="auto"/>
        <w:ind w:left="709" w:hanging="567"/>
        <w:textAlignment w:val="auto"/>
        <w:rPr>
          <w:rFonts w:ascii="宋体" w:hAnsi="宋体"/>
          <w:bCs/>
          <w:color w:val="auto"/>
          <w:sz w:val="24"/>
          <w:highlight w:val="none"/>
        </w:rPr>
      </w:pPr>
      <w:r>
        <w:rPr>
          <w:rFonts w:hint="eastAsia" w:ascii="宋体" w:hAnsi="宋体"/>
          <w:bCs/>
          <w:color w:val="auto"/>
          <w:sz w:val="24"/>
          <w:highlight w:val="none"/>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w:t>
      </w:r>
      <w:r>
        <w:rPr>
          <w:rFonts w:ascii="宋体" w:hAnsi="宋体"/>
          <w:bCs/>
          <w:color w:val="auto"/>
          <w:sz w:val="24"/>
          <w:highlight w:val="none"/>
        </w:rPr>
        <w:t>等</w:t>
      </w:r>
      <w:r>
        <w:rPr>
          <w:rFonts w:hint="eastAsia" w:ascii="宋体" w:hAnsi="宋体"/>
          <w:bCs/>
          <w:color w:val="auto"/>
          <w:sz w:val="24"/>
          <w:highlight w:val="none"/>
        </w:rPr>
        <w:t>。</w:t>
      </w:r>
    </w:p>
    <w:p>
      <w:pPr>
        <w:numPr>
          <w:ilvl w:val="0"/>
          <w:numId w:val="6"/>
        </w:numPr>
        <w:adjustRightInd/>
        <w:snapToGrid w:val="0"/>
        <w:spacing w:line="360" w:lineRule="auto"/>
        <w:ind w:left="426" w:hanging="284"/>
        <w:textAlignment w:val="auto"/>
        <w:rPr>
          <w:rFonts w:ascii="宋体" w:hAnsi="宋体"/>
          <w:bCs/>
          <w:color w:val="auto"/>
          <w:sz w:val="24"/>
          <w:highlight w:val="none"/>
        </w:rPr>
      </w:pPr>
      <w:r>
        <w:rPr>
          <w:rFonts w:hint="eastAsia" w:ascii="宋体" w:hAnsi="宋体" w:cs="宋体"/>
          <w:color w:val="auto"/>
          <w:kern w:val="2"/>
          <w:sz w:val="24"/>
          <w:highlight w:val="none"/>
        </w:rPr>
        <w:t>获取文件方式：</w:t>
      </w:r>
      <w:bookmarkStart w:id="6" w:name="_GoBack"/>
      <w:bookmarkEnd w:id="6"/>
    </w:p>
    <w:p>
      <w:pPr>
        <w:numPr>
          <w:ilvl w:val="0"/>
          <w:numId w:val="7"/>
        </w:numPr>
        <w:adjustRightInd/>
        <w:snapToGrid w:val="0"/>
        <w:spacing w:line="360" w:lineRule="auto"/>
        <w:ind w:left="426"/>
        <w:rPr>
          <w:bCs/>
          <w:color w:val="auto"/>
          <w:kern w:val="2"/>
          <w:sz w:val="24"/>
          <w:highlight w:val="none"/>
        </w:rPr>
      </w:pPr>
      <w:r>
        <w:rPr>
          <w:rFonts w:ascii="宋体" w:hAnsi="宋体"/>
          <w:bCs/>
          <w:color w:val="auto"/>
          <w:kern w:val="2"/>
          <w:sz w:val="24"/>
          <w:highlight w:val="none"/>
        </w:rPr>
        <w:t>网上报名</w:t>
      </w:r>
      <w:r>
        <w:rPr>
          <w:rFonts w:hint="eastAsia" w:ascii="宋体" w:hAnsi="宋体"/>
          <w:bCs/>
          <w:color w:val="auto"/>
          <w:kern w:val="2"/>
          <w:sz w:val="24"/>
          <w:highlight w:val="none"/>
        </w:rPr>
        <w:t>：供应商可</w:t>
      </w:r>
      <w:r>
        <w:rPr>
          <w:color w:val="auto"/>
          <w:kern w:val="2"/>
          <w:sz w:val="24"/>
          <w:highlight w:val="none"/>
        </w:rPr>
        <w:t>登入</w:t>
      </w:r>
      <w:r>
        <w:rPr>
          <w:color w:val="auto"/>
          <w:highlight w:val="none"/>
        </w:rPr>
        <w:fldChar w:fldCharType="begin"/>
      </w:r>
      <w:r>
        <w:rPr>
          <w:color w:val="auto"/>
          <w:highlight w:val="none"/>
        </w:rPr>
        <w:instrText xml:space="preserve"> HYPERLINK "http://www.chinapsp.cn" </w:instrText>
      </w:r>
      <w:r>
        <w:rPr>
          <w:color w:val="auto"/>
          <w:highlight w:val="none"/>
        </w:rPr>
        <w:fldChar w:fldCharType="separate"/>
      </w:r>
      <w:r>
        <w:rPr>
          <w:color w:val="auto"/>
          <w:kern w:val="2"/>
          <w:sz w:val="24"/>
          <w:highlight w:val="none"/>
        </w:rPr>
        <w:t>www.chinapsp.cn</w:t>
      </w:r>
      <w:r>
        <w:rPr>
          <w:color w:val="auto"/>
          <w:kern w:val="2"/>
          <w:sz w:val="24"/>
          <w:highlight w:val="none"/>
        </w:rPr>
        <w:fldChar w:fldCharType="end"/>
      </w:r>
      <w:r>
        <w:rPr>
          <w:color w:val="auto"/>
          <w:kern w:val="2"/>
          <w:sz w:val="24"/>
          <w:highlight w:val="none"/>
        </w:rPr>
        <w:t>中“下载中心”下载填写《采购文件领购登记表》，</w:t>
      </w:r>
      <w:r>
        <w:rPr>
          <w:bCs/>
          <w:color w:val="auto"/>
          <w:kern w:val="2"/>
          <w:sz w:val="24"/>
          <w:highlight w:val="none"/>
        </w:rPr>
        <w:t>加盖公章后，</w:t>
      </w:r>
      <w:r>
        <w:rPr>
          <w:rFonts w:hint="eastAsia"/>
          <w:bCs/>
          <w:color w:val="auto"/>
          <w:kern w:val="2"/>
          <w:sz w:val="24"/>
          <w:highlight w:val="none"/>
        </w:rPr>
        <w:t>扫描发至招标代理机构邮箱（clbj@chinapsp.cn），同时将标书款电汇至招标代理机构银行账户并获取文件。</w:t>
      </w:r>
    </w:p>
    <w:p>
      <w:pPr>
        <w:numPr>
          <w:ilvl w:val="0"/>
          <w:numId w:val="7"/>
        </w:numPr>
        <w:adjustRightInd/>
        <w:snapToGrid w:val="0"/>
        <w:spacing w:line="360" w:lineRule="auto"/>
        <w:ind w:left="426"/>
        <w:rPr>
          <w:bCs/>
          <w:color w:val="auto"/>
          <w:kern w:val="2"/>
          <w:sz w:val="24"/>
          <w:highlight w:val="none"/>
        </w:rPr>
      </w:pPr>
      <w:r>
        <w:rPr>
          <w:rFonts w:hint="eastAsia"/>
          <w:bCs/>
          <w:color w:val="auto"/>
          <w:kern w:val="2"/>
          <w:sz w:val="24"/>
          <w:highlight w:val="none"/>
        </w:rPr>
        <w:t>售价（元）：500.00</w:t>
      </w:r>
    </w:p>
    <w:p>
      <w:pPr>
        <w:numPr>
          <w:ilvl w:val="0"/>
          <w:numId w:val="7"/>
        </w:numPr>
        <w:adjustRightInd/>
        <w:snapToGrid w:val="0"/>
        <w:spacing w:line="360" w:lineRule="auto"/>
        <w:ind w:left="426"/>
        <w:rPr>
          <w:bCs/>
          <w:color w:val="auto"/>
          <w:kern w:val="2"/>
          <w:sz w:val="24"/>
          <w:highlight w:val="none"/>
        </w:rPr>
      </w:pPr>
      <w:r>
        <w:rPr>
          <w:rFonts w:hint="eastAsia"/>
          <w:bCs/>
          <w:color w:val="auto"/>
          <w:kern w:val="2"/>
          <w:sz w:val="24"/>
          <w:highlight w:val="none"/>
        </w:rPr>
        <w:t>具体汇款账户信息如下：</w:t>
      </w:r>
    </w:p>
    <w:p>
      <w:pPr>
        <w:adjustRightInd/>
        <w:snapToGrid w:val="0"/>
        <w:spacing w:line="360" w:lineRule="auto"/>
        <w:ind w:left="1008" w:leftChars="504"/>
        <w:rPr>
          <w:bCs/>
          <w:color w:val="auto"/>
          <w:kern w:val="2"/>
          <w:sz w:val="24"/>
          <w:highlight w:val="none"/>
        </w:rPr>
      </w:pPr>
      <w:r>
        <w:rPr>
          <w:rFonts w:hint="eastAsia"/>
          <w:bCs/>
          <w:color w:val="auto"/>
          <w:kern w:val="2"/>
          <w:sz w:val="24"/>
          <w:highlight w:val="none"/>
        </w:rPr>
        <w:t>户    名：采联国际招标采购集团有限公司北京分公司</w:t>
      </w:r>
    </w:p>
    <w:p>
      <w:pPr>
        <w:adjustRightInd/>
        <w:snapToGrid w:val="0"/>
        <w:spacing w:line="360" w:lineRule="auto"/>
        <w:ind w:left="1008" w:leftChars="504"/>
        <w:rPr>
          <w:bCs/>
          <w:color w:val="auto"/>
          <w:kern w:val="2"/>
          <w:sz w:val="24"/>
          <w:highlight w:val="none"/>
        </w:rPr>
      </w:pPr>
      <w:r>
        <w:rPr>
          <w:rFonts w:hint="eastAsia"/>
          <w:bCs/>
          <w:color w:val="auto"/>
          <w:kern w:val="2"/>
          <w:sz w:val="24"/>
          <w:highlight w:val="none"/>
        </w:rPr>
        <w:t>开户银行：广发银行股份有限公司北京宣武门支行</w:t>
      </w:r>
    </w:p>
    <w:p>
      <w:pPr>
        <w:adjustRightInd/>
        <w:snapToGrid w:val="0"/>
        <w:spacing w:line="360" w:lineRule="auto"/>
        <w:ind w:left="1008" w:leftChars="504"/>
        <w:rPr>
          <w:rFonts w:ascii="宋体" w:hAnsi="宋体"/>
          <w:bCs/>
          <w:color w:val="auto"/>
          <w:sz w:val="24"/>
          <w:highlight w:val="none"/>
        </w:rPr>
      </w:pPr>
      <w:r>
        <w:rPr>
          <w:rFonts w:hint="eastAsia"/>
          <w:bCs/>
          <w:color w:val="auto"/>
          <w:kern w:val="2"/>
          <w:sz w:val="24"/>
          <w:highlight w:val="none"/>
        </w:rPr>
        <w:t>账   号： 9550880212380600134</w:t>
      </w:r>
    </w:p>
    <w:p>
      <w:pPr>
        <w:numPr>
          <w:ilvl w:val="0"/>
          <w:numId w:val="6"/>
        </w:numPr>
        <w:adjustRightInd/>
        <w:snapToGrid w:val="0"/>
        <w:spacing w:line="360" w:lineRule="auto"/>
        <w:ind w:left="709" w:hanging="567"/>
        <w:textAlignment w:val="auto"/>
        <w:rPr>
          <w:rFonts w:ascii="宋体" w:hAnsi="宋体"/>
          <w:color w:val="auto"/>
          <w:sz w:val="24"/>
          <w:highlight w:val="none"/>
        </w:rPr>
      </w:pPr>
      <w:r>
        <w:rPr>
          <w:rFonts w:hint="eastAsia" w:ascii="宋体" w:hAnsi="宋体"/>
          <w:bCs/>
          <w:color w:val="auto"/>
          <w:sz w:val="24"/>
          <w:highlight w:val="none"/>
        </w:rPr>
        <w:t>采购代理机构提供纸质招标文件，同时免费附赠电子招标文件1份。</w:t>
      </w:r>
      <w:r>
        <w:rPr>
          <w:rFonts w:ascii="宋体" w:hAnsi="宋体"/>
          <w:bCs/>
          <w:color w:val="auto"/>
          <w:sz w:val="24"/>
          <w:highlight w:val="none"/>
        </w:rPr>
        <w:t>如需邮寄（到付），招标代理机构对邮寄过程中的遗失概不负责。</w:t>
      </w:r>
    </w:p>
    <w:p>
      <w:pPr>
        <w:numPr>
          <w:ilvl w:val="0"/>
          <w:numId w:val="6"/>
        </w:numPr>
        <w:adjustRightInd/>
        <w:snapToGrid w:val="0"/>
        <w:spacing w:line="360" w:lineRule="auto"/>
        <w:ind w:left="709" w:hanging="567"/>
        <w:textAlignment w:val="auto"/>
        <w:rPr>
          <w:rFonts w:ascii="宋体" w:hAnsi="宋体"/>
          <w:strike/>
          <w:color w:val="auto"/>
          <w:sz w:val="24"/>
          <w:highlight w:val="none"/>
        </w:rPr>
      </w:pPr>
      <w:r>
        <w:rPr>
          <w:rFonts w:hint="eastAsia" w:ascii="宋体" w:hAnsi="宋体"/>
          <w:bCs/>
          <w:color w:val="auto"/>
          <w:sz w:val="24"/>
          <w:highlight w:val="none"/>
        </w:rPr>
        <w:t>获取</w:t>
      </w:r>
      <w:r>
        <w:rPr>
          <w:rFonts w:hint="eastAsia" w:ascii="宋体" w:hAnsi="宋体"/>
          <w:color w:val="auto"/>
          <w:sz w:val="24"/>
          <w:highlight w:val="none"/>
        </w:rPr>
        <w:t>招标文件过程问题咨询联系人：</w:t>
      </w:r>
      <w:r>
        <w:rPr>
          <w:rFonts w:hint="eastAsia" w:ascii="宋体" w:hAnsi="宋体"/>
          <w:color w:val="auto"/>
          <w:sz w:val="24"/>
          <w:highlight w:val="none"/>
          <w:u w:val="single"/>
        </w:rPr>
        <w:t>甄小姐</w:t>
      </w:r>
      <w:r>
        <w:rPr>
          <w:rFonts w:hint="eastAsia" w:ascii="宋体" w:hAnsi="宋体"/>
          <w:color w:val="auto"/>
          <w:sz w:val="24"/>
          <w:highlight w:val="none"/>
        </w:rPr>
        <w:t>，联系电话：</w:t>
      </w:r>
      <w:r>
        <w:rPr>
          <w:rFonts w:hint="eastAsia" w:ascii="宋体" w:hAnsi="宋体"/>
          <w:color w:val="auto"/>
          <w:sz w:val="24"/>
          <w:highlight w:val="none"/>
          <w:u w:val="single"/>
        </w:rPr>
        <w:t>010-63363289-2061</w:t>
      </w:r>
      <w:r>
        <w:rPr>
          <w:rFonts w:hint="eastAsia" w:ascii="宋体" w:hAnsi="宋体"/>
          <w:color w:val="auto"/>
          <w:sz w:val="24"/>
          <w:highlight w:val="none"/>
        </w:rPr>
        <w:t>。</w:t>
      </w:r>
    </w:p>
    <w:p>
      <w:pPr>
        <w:numPr>
          <w:ilvl w:val="0"/>
          <w:numId w:val="1"/>
        </w:numPr>
        <w:adjustRightInd/>
        <w:snapToGrid w:val="0"/>
        <w:spacing w:line="360" w:lineRule="auto"/>
        <w:textAlignment w:val="auto"/>
        <w:rPr>
          <w:rFonts w:ascii="宋体" w:hAnsi="宋体" w:cs="仿宋_GB2312"/>
          <w:b/>
          <w:bCs/>
          <w:color w:val="auto"/>
          <w:kern w:val="2"/>
          <w:sz w:val="24"/>
          <w:highlight w:val="none"/>
        </w:rPr>
      </w:pPr>
      <w:r>
        <w:rPr>
          <w:rFonts w:hint="eastAsia" w:ascii="宋体" w:hAnsi="宋体" w:cs="仿宋_GB2312"/>
          <w:b/>
          <w:bCs/>
          <w:color w:val="auto"/>
          <w:kern w:val="2"/>
          <w:sz w:val="24"/>
          <w:highlight w:val="none"/>
        </w:rPr>
        <w:t>对本次招标提出询问，请按以下方式联系。</w:t>
      </w:r>
    </w:p>
    <w:p>
      <w:pPr>
        <w:numPr>
          <w:ilvl w:val="0"/>
          <w:numId w:val="8"/>
        </w:numPr>
        <w:adjustRightInd/>
        <w:snapToGrid w:val="0"/>
        <w:spacing w:line="360" w:lineRule="auto"/>
        <w:ind w:hanging="278"/>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采购人信息</w:t>
      </w:r>
    </w:p>
    <w:p>
      <w:pPr>
        <w:adjustRightInd/>
        <w:snapToGrid w:val="0"/>
        <w:spacing w:line="360" w:lineRule="auto"/>
        <w:ind w:left="404" w:leftChars="202"/>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名称：</w:t>
      </w:r>
      <w:r>
        <w:rPr>
          <w:rFonts w:hint="eastAsia" w:ascii="宋体" w:hAnsi="宋体"/>
          <w:color w:val="auto"/>
          <w:kern w:val="2"/>
          <w:sz w:val="24"/>
          <w:highlight w:val="none"/>
        </w:rPr>
        <w:t>山东省消防救援总队</w:t>
      </w:r>
    </w:p>
    <w:p>
      <w:pPr>
        <w:adjustRightInd/>
        <w:snapToGrid w:val="0"/>
        <w:spacing w:line="360" w:lineRule="auto"/>
        <w:ind w:left="404" w:leftChars="202"/>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地址：山东省济南市经十东路2218号</w:t>
      </w:r>
    </w:p>
    <w:p>
      <w:pPr>
        <w:adjustRightInd/>
        <w:snapToGrid w:val="0"/>
        <w:spacing w:line="360" w:lineRule="auto"/>
        <w:ind w:left="404" w:leftChars="202"/>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联系方式</w:t>
      </w:r>
      <w:r>
        <w:rPr>
          <w:rFonts w:hint="eastAsia" w:ascii="宋体" w:hAnsi="宋体" w:cs="仿宋_GB2312"/>
          <w:color w:val="auto"/>
          <w:sz w:val="24"/>
          <w:highlight w:val="none"/>
        </w:rPr>
        <w:t>：</w:t>
      </w:r>
      <w:bookmarkStart w:id="5" w:name="_Hlk40889109"/>
      <w:r>
        <w:rPr>
          <w:rFonts w:hint="eastAsia" w:ascii="宋体" w:hAnsi="宋体" w:cs="仿宋_GB2312"/>
          <w:color w:val="auto"/>
          <w:sz w:val="24"/>
          <w:highlight w:val="none"/>
        </w:rPr>
        <w:t>0531-85124027</w:t>
      </w:r>
      <w:bookmarkEnd w:id="5"/>
    </w:p>
    <w:p>
      <w:pPr>
        <w:numPr>
          <w:ilvl w:val="0"/>
          <w:numId w:val="8"/>
        </w:numPr>
        <w:adjustRightInd/>
        <w:snapToGrid w:val="0"/>
        <w:spacing w:line="360" w:lineRule="auto"/>
        <w:ind w:hanging="278"/>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采购代理机构信息</w:t>
      </w:r>
    </w:p>
    <w:p>
      <w:pPr>
        <w:adjustRightInd/>
        <w:snapToGrid w:val="0"/>
        <w:spacing w:line="360" w:lineRule="auto"/>
        <w:ind w:left="404" w:leftChars="202"/>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名称：</w:t>
      </w:r>
      <w:r>
        <w:rPr>
          <w:rFonts w:hint="eastAsia" w:ascii="宋体" w:hAnsi="宋体"/>
          <w:color w:val="auto"/>
          <w:kern w:val="2"/>
          <w:sz w:val="24"/>
          <w:highlight w:val="none"/>
        </w:rPr>
        <w:t>采联国际招标采购集团有限公司</w:t>
      </w:r>
      <w:r>
        <w:rPr>
          <w:rFonts w:hint="eastAsia" w:ascii="宋体" w:hAnsi="宋体" w:cs="仿宋_GB2312"/>
          <w:color w:val="auto"/>
          <w:kern w:val="2"/>
          <w:sz w:val="24"/>
          <w:highlight w:val="none"/>
        </w:rPr>
        <w:t xml:space="preserve"> </w:t>
      </w:r>
    </w:p>
    <w:p>
      <w:pPr>
        <w:adjustRightInd/>
        <w:snapToGrid w:val="0"/>
        <w:spacing w:line="360" w:lineRule="auto"/>
        <w:ind w:left="404" w:leftChars="202"/>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地址：北京市丰台区广安路9号国投财富广场1号楼15A01（北京分公司）</w:t>
      </w:r>
    </w:p>
    <w:p>
      <w:pPr>
        <w:adjustRightInd/>
        <w:snapToGrid w:val="0"/>
        <w:spacing w:line="360" w:lineRule="auto"/>
        <w:ind w:left="404" w:leftChars="202"/>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联系方式：</w:t>
      </w:r>
      <w:r>
        <w:rPr>
          <w:rFonts w:hint="eastAsia" w:ascii="宋体" w:hAnsi="宋体"/>
          <w:color w:val="auto"/>
          <w:kern w:val="2"/>
          <w:sz w:val="24"/>
          <w:highlight w:val="none"/>
        </w:rPr>
        <w:t>01063363289</w:t>
      </w:r>
    </w:p>
    <w:p>
      <w:pPr>
        <w:numPr>
          <w:ilvl w:val="0"/>
          <w:numId w:val="8"/>
        </w:numPr>
        <w:adjustRightInd/>
        <w:snapToGrid w:val="0"/>
        <w:spacing w:line="360" w:lineRule="auto"/>
        <w:ind w:hanging="278"/>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 xml:space="preserve">项目联系方式 </w:t>
      </w:r>
    </w:p>
    <w:p>
      <w:pPr>
        <w:adjustRightInd/>
        <w:snapToGrid w:val="0"/>
        <w:spacing w:line="360" w:lineRule="auto"/>
        <w:ind w:left="404" w:leftChars="202"/>
        <w:textAlignment w:val="auto"/>
        <w:rPr>
          <w:rFonts w:hint="default" w:ascii="宋体" w:hAnsi="宋体" w:eastAsia="宋体" w:cs="仿宋_GB2312"/>
          <w:color w:val="auto"/>
          <w:kern w:val="2"/>
          <w:sz w:val="24"/>
          <w:highlight w:val="none"/>
          <w:lang w:val="en-US" w:eastAsia="zh-CN"/>
        </w:rPr>
      </w:pPr>
      <w:r>
        <w:rPr>
          <w:rFonts w:hint="eastAsia" w:ascii="宋体" w:hAnsi="宋体" w:cs="仿宋_GB2312"/>
          <w:color w:val="auto"/>
          <w:kern w:val="2"/>
          <w:sz w:val="24"/>
          <w:highlight w:val="none"/>
        </w:rPr>
        <w:t>项目联系人：</w:t>
      </w:r>
      <w:r>
        <w:rPr>
          <w:rFonts w:hint="eastAsia" w:ascii="宋体" w:hAnsi="宋体" w:cs="仿宋_GB2312"/>
          <w:color w:val="auto"/>
          <w:kern w:val="2"/>
          <w:sz w:val="24"/>
          <w:highlight w:val="none"/>
          <w:lang w:val="en-US" w:eastAsia="zh-CN"/>
        </w:rPr>
        <w:t>贾彤</w:t>
      </w:r>
    </w:p>
    <w:p>
      <w:pPr>
        <w:adjustRightInd/>
        <w:snapToGrid w:val="0"/>
        <w:spacing w:line="360" w:lineRule="auto"/>
        <w:ind w:left="404" w:leftChars="202"/>
        <w:textAlignment w:val="auto"/>
        <w:rPr>
          <w:rFonts w:hint="default" w:ascii="宋体" w:hAnsi="宋体" w:eastAsia="宋体" w:cs="仿宋_GB2312"/>
          <w:color w:val="auto"/>
          <w:kern w:val="2"/>
          <w:sz w:val="24"/>
          <w:highlight w:val="none"/>
          <w:lang w:val="en-US" w:eastAsia="zh-CN"/>
        </w:rPr>
      </w:pPr>
      <w:r>
        <w:rPr>
          <w:rFonts w:hint="eastAsia" w:ascii="宋体" w:hAnsi="宋体" w:cs="仿宋_GB2312"/>
          <w:color w:val="auto"/>
          <w:kern w:val="2"/>
          <w:sz w:val="24"/>
          <w:highlight w:val="none"/>
        </w:rPr>
        <w:t>电话：</w:t>
      </w:r>
      <w:r>
        <w:rPr>
          <w:rFonts w:hint="eastAsia" w:ascii="宋体" w:hAnsi="宋体"/>
          <w:color w:val="auto"/>
          <w:kern w:val="2"/>
          <w:sz w:val="24"/>
          <w:highlight w:val="none"/>
        </w:rPr>
        <w:t>01063363289/</w:t>
      </w:r>
      <w:r>
        <w:rPr>
          <w:rFonts w:ascii="宋体" w:hAnsi="宋体" w:eastAsia="宋体" w:cs="宋体"/>
          <w:sz w:val="24"/>
          <w:szCs w:val="24"/>
          <w:highlight w:val="none"/>
        </w:rPr>
        <w:t>1336612</w:t>
      </w:r>
      <w:r>
        <w:rPr>
          <w:rFonts w:hint="eastAsia" w:ascii="宋体" w:hAnsi="宋体" w:cs="宋体"/>
          <w:sz w:val="24"/>
          <w:szCs w:val="24"/>
          <w:highlight w:val="none"/>
          <w:lang w:val="en-US" w:eastAsia="zh-CN"/>
        </w:rPr>
        <w:t>2993</w:t>
      </w:r>
    </w:p>
    <w:p>
      <w:pPr>
        <w:adjustRightInd/>
        <w:snapToGrid w:val="0"/>
        <w:spacing w:line="360" w:lineRule="auto"/>
        <w:textAlignment w:val="auto"/>
        <w:rPr>
          <w:rFonts w:ascii="宋体" w:hAnsi="宋体" w:cs="仿宋_GB2312"/>
          <w:color w:val="auto"/>
          <w:kern w:val="2"/>
          <w:sz w:val="24"/>
          <w:highlight w:val="none"/>
        </w:rPr>
      </w:pPr>
    </w:p>
    <w:p>
      <w:pPr>
        <w:adjustRightInd/>
        <w:snapToGrid w:val="0"/>
        <w:spacing w:line="360" w:lineRule="auto"/>
        <w:jc w:val="both"/>
        <w:textAlignment w:val="auto"/>
        <w:rPr>
          <w:rFonts w:ascii="宋体" w:hAnsi="宋体" w:cs="仿宋_GB2312"/>
          <w:color w:val="auto"/>
          <w:kern w:val="2"/>
          <w:sz w:val="24"/>
          <w:highlight w:val="none"/>
        </w:rPr>
      </w:pPr>
    </w:p>
    <w:p>
      <w:pPr>
        <w:adjustRightInd/>
        <w:snapToGrid w:val="0"/>
        <w:spacing w:line="360" w:lineRule="auto"/>
        <w:jc w:val="right"/>
        <w:textAlignment w:val="auto"/>
        <w:rPr>
          <w:rFonts w:ascii="宋体" w:hAnsi="宋体" w:cs="仿宋_GB2312"/>
          <w:color w:val="auto"/>
          <w:kern w:val="2"/>
          <w:sz w:val="24"/>
          <w:highlight w:val="none"/>
        </w:rPr>
      </w:pPr>
      <w:r>
        <w:rPr>
          <w:rFonts w:hint="eastAsia" w:ascii="宋体" w:hAnsi="宋体" w:cs="仿宋_GB2312"/>
          <w:color w:val="auto"/>
          <w:kern w:val="2"/>
          <w:sz w:val="24"/>
          <w:highlight w:val="none"/>
        </w:rPr>
        <w:t>发布人：</w:t>
      </w:r>
      <w:r>
        <w:rPr>
          <w:rFonts w:hint="eastAsia" w:ascii="宋体" w:hAnsi="宋体"/>
          <w:color w:val="auto"/>
          <w:kern w:val="2"/>
          <w:sz w:val="24"/>
          <w:highlight w:val="none"/>
          <w:u w:val="none"/>
        </w:rPr>
        <w:t>采联国际招标采购集团有限公司</w:t>
      </w:r>
    </w:p>
    <w:p>
      <w:pPr>
        <w:snapToGrid w:val="0"/>
        <w:spacing w:before="156" w:beforeLines="50" w:after="156" w:afterLines="50" w:line="240" w:lineRule="auto"/>
        <w:jc w:val="right"/>
        <w:outlineLvl w:val="9"/>
      </w:pPr>
      <w:r>
        <w:rPr>
          <w:rFonts w:hint="eastAsia" w:ascii="宋体" w:hAnsi="宋体" w:cs="仿宋_GB2312"/>
          <w:color w:val="auto"/>
          <w:kern w:val="2"/>
          <w:sz w:val="24"/>
          <w:highlight w:val="none"/>
        </w:rPr>
        <w:t>发布时间：202</w:t>
      </w:r>
      <w:r>
        <w:rPr>
          <w:rFonts w:hint="eastAsia" w:ascii="宋体" w:hAnsi="宋体" w:cs="仿宋_GB2312"/>
          <w:color w:val="auto"/>
          <w:kern w:val="2"/>
          <w:sz w:val="24"/>
          <w:highlight w:val="none"/>
          <w:lang w:val="en-US" w:eastAsia="zh-CN"/>
        </w:rPr>
        <w:t>2</w:t>
      </w:r>
      <w:r>
        <w:rPr>
          <w:rFonts w:hint="eastAsia" w:ascii="宋体" w:hAnsi="宋体" w:cs="仿宋_GB2312"/>
          <w:color w:val="auto"/>
          <w:kern w:val="2"/>
          <w:sz w:val="24"/>
          <w:highlight w:val="none"/>
        </w:rPr>
        <w:t>年</w:t>
      </w:r>
      <w:r>
        <w:rPr>
          <w:rFonts w:hint="eastAsia" w:ascii="宋体" w:hAnsi="宋体" w:cs="仿宋_GB2312"/>
          <w:color w:val="auto"/>
          <w:kern w:val="2"/>
          <w:sz w:val="24"/>
          <w:highlight w:val="none"/>
          <w:lang w:val="en-US" w:eastAsia="zh-CN"/>
        </w:rPr>
        <w:t>1</w:t>
      </w:r>
      <w:r>
        <w:rPr>
          <w:rFonts w:hint="eastAsia" w:ascii="宋体" w:hAnsi="宋体" w:cs="仿宋_GB2312"/>
          <w:color w:val="auto"/>
          <w:kern w:val="2"/>
          <w:sz w:val="24"/>
          <w:highlight w:val="none"/>
        </w:rPr>
        <w:t>月</w:t>
      </w:r>
      <w:r>
        <w:rPr>
          <w:rFonts w:hint="eastAsia" w:ascii="宋体" w:hAnsi="宋体" w:cs="仿宋_GB2312"/>
          <w:color w:val="auto"/>
          <w:kern w:val="2"/>
          <w:sz w:val="24"/>
          <w:highlight w:val="none"/>
          <w:lang w:val="en-US" w:eastAsia="zh-CN"/>
        </w:rPr>
        <w:t>12</w:t>
      </w:r>
      <w:r>
        <w:rPr>
          <w:rFonts w:hint="eastAsia" w:ascii="宋体" w:hAnsi="宋体" w:cs="仿宋_GB2312"/>
          <w:color w:val="auto"/>
          <w:kern w:val="2"/>
          <w:sz w:val="24"/>
          <w:highlight w:val="none"/>
        </w:rPr>
        <w:t>日</w:t>
      </w:r>
      <w:bookmarkEnd w:id="0"/>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AB4B1"/>
    <w:multiLevelType w:val="singleLevel"/>
    <w:tmpl w:val="EB2AB4B1"/>
    <w:lvl w:ilvl="0" w:tentative="0">
      <w:start w:val="1"/>
      <w:numFmt w:val="decimal"/>
      <w:suff w:val="nothing"/>
      <w:lvlText w:val="（%1）"/>
      <w:lvlJc w:val="left"/>
    </w:lvl>
  </w:abstractNum>
  <w:abstractNum w:abstractNumId="1">
    <w:nsid w:val="122C578D"/>
    <w:multiLevelType w:val="singleLevel"/>
    <w:tmpl w:val="122C578D"/>
    <w:lvl w:ilvl="0" w:tentative="0">
      <w:start w:val="1"/>
      <w:numFmt w:val="decimal"/>
      <w:lvlText w:val="(%1)"/>
      <w:lvlJc w:val="left"/>
      <w:pPr>
        <w:ind w:left="420" w:hanging="420"/>
      </w:pPr>
      <w:rPr>
        <w:rFonts w:hint="default"/>
      </w:rPr>
    </w:lvl>
  </w:abstractNum>
  <w:abstractNum w:abstractNumId="2">
    <w:nsid w:val="1B2630FA"/>
    <w:multiLevelType w:val="multilevel"/>
    <w:tmpl w:val="1B2630FA"/>
    <w:lvl w:ilvl="0" w:tentative="0">
      <w:start w:val="1"/>
      <w:numFmt w:val="decimal"/>
      <w:lvlText w:val="%1."/>
      <w:lvlJc w:val="left"/>
      <w:pPr>
        <w:ind w:left="562" w:hanging="420"/>
      </w:pPr>
      <w:rPr>
        <w:rFonts w:hint="eastAsia"/>
        <w:i w:val="0"/>
        <w:iCs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344B54F6"/>
    <w:multiLevelType w:val="multilevel"/>
    <w:tmpl w:val="344B54F6"/>
    <w:lvl w:ilvl="0" w:tentative="0">
      <w:start w:val="1"/>
      <w:numFmt w:val="chineseCountingThousand"/>
      <w:lvlText w:val="%1、"/>
      <w:lvlJc w:val="left"/>
      <w:pPr>
        <w:ind w:left="720" w:hanging="720"/>
      </w:pPr>
      <w:rPr>
        <w:rFonts w:hint="eastAsia"/>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714C59"/>
    <w:multiLevelType w:val="multilevel"/>
    <w:tmpl w:val="57714C59"/>
    <w:lvl w:ilvl="0" w:tentative="0">
      <w:start w:val="1"/>
      <w:numFmt w:val="chineseCountingThousand"/>
      <w:lvlText w:val="(%1)"/>
      <w:lvlJc w:val="left"/>
      <w:pPr>
        <w:ind w:left="420" w:hanging="420"/>
      </w:pPr>
      <w:rPr>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EA4AB5"/>
    <w:multiLevelType w:val="singleLevel"/>
    <w:tmpl w:val="68EA4AB5"/>
    <w:lvl w:ilvl="0" w:tentative="0">
      <w:start w:val="1"/>
      <w:numFmt w:val="decimal"/>
      <w:lvlText w:val="%1."/>
      <w:lvlJc w:val="left"/>
      <w:pPr>
        <w:ind w:left="425" w:hanging="425"/>
      </w:pPr>
      <w:rPr>
        <w:rFonts w:hint="default"/>
        <w:i w:val="0"/>
        <w:iCs w:val="0"/>
        <w:color w:val="auto"/>
      </w:rPr>
    </w:lvl>
  </w:abstractNum>
  <w:abstractNum w:abstractNumId="6">
    <w:nsid w:val="76630DDD"/>
    <w:multiLevelType w:val="multilevel"/>
    <w:tmpl w:val="76630DDD"/>
    <w:lvl w:ilvl="0" w:tentative="0">
      <w:start w:val="1"/>
      <w:numFmt w:val="decimal"/>
      <w:lvlText w:val="%1."/>
      <w:lvlJc w:val="left"/>
      <w:pPr>
        <w:ind w:left="420" w:hanging="420"/>
      </w:pPr>
      <w:rPr>
        <w:i w:val="0"/>
        <w:iCs w:val="0"/>
        <w:shd w:val="clear" w:color="auto" w:fil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2A1080"/>
    <w:multiLevelType w:val="multilevel"/>
    <w:tmpl w:val="792A1080"/>
    <w:lvl w:ilvl="0" w:tentative="0">
      <w:start w:val="1"/>
      <w:numFmt w:val="decimal"/>
      <w:lvlText w:val="（%1）"/>
      <w:lvlJc w:val="left"/>
      <w:pPr>
        <w:ind w:left="420" w:hanging="420"/>
      </w:pPr>
      <w:rPr>
        <w:rFonts w:hint="default"/>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7"/>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D2947"/>
    <w:rsid w:val="06ED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table" w:customStyle="1" w:styleId="6">
    <w:name w:val="网格型1"/>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2022-01-12T07:33:00Z</dcterms:created>
  <dc:creator>Tong</dc:creator>
  <cp:lastModifiedBy>Tong</cp:lastModifiedBy>
  <cp:lastPrinted>2022-01-12T07:36:00Z</cp:lastPrinted>
  <dcterms:modified xsi:type="dcterms:W3CDTF">2022-01-12T07:36:34Z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E4001EADEE6448E9A41EF6BA68177D2D</vt:lpwstr>
  </property>
</Properties>
</file>