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360" w:lineRule="auto"/>
        <w:jc w:val="center"/>
        <w:rPr>
          <w:rFonts w:ascii="宋体" w:hAnsi="宋体" w:cs="宋体"/>
          <w:color w:val="000000"/>
          <w:sz w:val="36"/>
          <w:szCs w:val="36"/>
        </w:rPr>
      </w:pPr>
      <w:r>
        <w:rPr>
          <w:rFonts w:hint="eastAsia" w:ascii="宋体" w:hAnsi="宋体" w:cs="宋体"/>
          <w:color w:val="000000"/>
          <w:sz w:val="36"/>
          <w:szCs w:val="36"/>
        </w:rPr>
        <w:t>招标项目技术、服务、商务及其他要求</w:t>
      </w:r>
    </w:p>
    <w:p>
      <w:pPr>
        <w:spacing w:line="360" w:lineRule="auto"/>
        <w:ind w:firstLine="482" w:firstLineChars="200"/>
        <w:rPr>
          <w:rStyle w:val="6"/>
          <w:rFonts w:ascii="宋体" w:hAnsi="宋体" w:cs="宋体"/>
          <w:b/>
          <w:bCs/>
          <w:color w:val="000000"/>
          <w:kern w:val="0"/>
          <w:sz w:val="24"/>
          <w:lang w:eastAsia="zh-TW"/>
        </w:rPr>
      </w:pPr>
      <w:r>
        <w:rPr>
          <w:rStyle w:val="6"/>
          <w:rFonts w:ascii="宋体" w:hAnsi="宋体" w:cs="宋体"/>
          <w:b/>
          <w:bCs/>
          <w:color w:val="000000"/>
          <w:kern w:val="0"/>
          <w:sz w:val="24"/>
          <w:lang w:eastAsia="zh-TW"/>
        </w:rPr>
        <w:t>特别说明：</w:t>
      </w:r>
      <w:bookmarkStart w:id="264" w:name="_GoBack"/>
      <w:bookmarkEnd w:id="264"/>
    </w:p>
    <w:p>
      <w:pPr>
        <w:spacing w:line="360" w:lineRule="auto"/>
        <w:ind w:firstLine="482" w:firstLineChars="200"/>
        <w:rPr>
          <w:rStyle w:val="6"/>
          <w:rFonts w:ascii="宋体" w:hAnsi="宋体" w:cs="宋体"/>
          <w:b/>
          <w:bCs/>
          <w:color w:val="000000"/>
          <w:kern w:val="0"/>
          <w:sz w:val="24"/>
          <w:lang w:eastAsia="zh-TW"/>
        </w:rPr>
      </w:pPr>
      <w:r>
        <w:rPr>
          <w:rStyle w:val="6"/>
          <w:rFonts w:ascii="宋体" w:hAnsi="宋体" w:cs="宋体"/>
          <w:b/>
          <w:bCs/>
          <w:color w:val="000000"/>
          <w:kern w:val="0"/>
          <w:sz w:val="24"/>
          <w:lang w:eastAsia="zh-TW"/>
        </w:rPr>
        <w:t>1</w:t>
      </w:r>
      <w:r>
        <w:rPr>
          <w:rStyle w:val="6"/>
          <w:rFonts w:hint="eastAsia" w:ascii="宋体" w:hAnsi="宋体" w:cs="宋体"/>
          <w:b/>
          <w:bCs/>
          <w:color w:val="000000"/>
          <w:kern w:val="0"/>
          <w:sz w:val="24"/>
          <w:lang w:eastAsia="zh-TW"/>
        </w:rPr>
        <w:t>、</w:t>
      </w:r>
      <w:r>
        <w:rPr>
          <w:rStyle w:val="6"/>
          <w:rFonts w:ascii="宋体" w:hAnsi="宋体" w:cs="宋体"/>
          <w:b/>
          <w:bCs/>
          <w:color w:val="000000"/>
          <w:kern w:val="0"/>
          <w:sz w:val="24"/>
          <w:lang w:eastAsia="zh-TW"/>
        </w:rPr>
        <w:t>2020年8月25</w:t>
      </w:r>
      <w:r>
        <w:rPr>
          <w:rStyle w:val="6"/>
          <w:rFonts w:hint="eastAsia" w:ascii="宋体" w:hAnsi="宋体" w:cs="宋体"/>
          <w:b/>
          <w:bCs/>
          <w:color w:val="000000"/>
          <w:kern w:val="0"/>
          <w:sz w:val="24"/>
          <w:lang w:eastAsia="zh-TW"/>
        </w:rPr>
        <w:t>日</w:t>
      </w:r>
      <w:r>
        <w:rPr>
          <w:rStyle w:val="6"/>
          <w:rFonts w:ascii="宋体" w:hAnsi="宋体" w:cs="宋体"/>
          <w:b/>
          <w:bCs/>
          <w:color w:val="000000"/>
          <w:kern w:val="0"/>
          <w:sz w:val="24"/>
          <w:lang w:eastAsia="zh-TW"/>
        </w:rPr>
        <w:t>，中华人民共和国应急管理部《关于消防救援领域行业标准以“XF”代号重新编号发布的公告》（2020年 第5号）明确，消防救援领域165项现行行业标准类别由公安安全行业标准调整为消防救援行业标准，代号由“</w:t>
      </w:r>
      <w:r>
        <w:rPr>
          <w:rStyle w:val="6"/>
          <w:rFonts w:hint="eastAsia" w:ascii="宋体" w:hAnsi="宋体" w:cs="宋体"/>
          <w:b/>
          <w:bCs/>
          <w:color w:val="000000"/>
          <w:kern w:val="0"/>
          <w:sz w:val="24"/>
        </w:rPr>
        <w:t>G</w:t>
      </w:r>
      <w:r>
        <w:rPr>
          <w:rStyle w:val="6"/>
          <w:rFonts w:ascii="宋体" w:hAnsi="宋体" w:cs="宋体"/>
          <w:b/>
          <w:bCs/>
          <w:color w:val="000000"/>
          <w:kern w:val="0"/>
          <w:sz w:val="24"/>
          <w:lang w:eastAsia="zh-TW"/>
        </w:rPr>
        <w:t xml:space="preserve">A”调整为“XF”，顺序号和内容保持不变。 </w:t>
      </w:r>
    </w:p>
    <w:p>
      <w:pPr>
        <w:spacing w:line="360" w:lineRule="auto"/>
        <w:ind w:firstLine="482" w:firstLineChars="200"/>
        <w:rPr>
          <w:rStyle w:val="6"/>
          <w:rFonts w:hint="eastAsia" w:ascii="宋体" w:hAnsi="宋体" w:cs="宋体"/>
          <w:b/>
          <w:bCs/>
          <w:color w:val="000000"/>
          <w:kern w:val="0"/>
          <w:sz w:val="24"/>
          <w:lang w:eastAsia="zh-TW"/>
        </w:rPr>
      </w:pPr>
      <w:r>
        <w:rPr>
          <w:rStyle w:val="6"/>
          <w:rFonts w:ascii="宋体" w:hAnsi="宋体" w:cs="宋体"/>
          <w:b/>
          <w:bCs/>
          <w:color w:val="000000"/>
          <w:kern w:val="0"/>
          <w:sz w:val="24"/>
          <w:lang w:eastAsia="zh-TW"/>
        </w:rPr>
        <w:t>2、为了落实公告要求，采购人将技术参数中的标准代号调整为XF。目前，参考资料、检测报告等相关资料，在实际投标中，使用代号</w:t>
      </w:r>
      <w:r>
        <w:rPr>
          <w:rStyle w:val="6"/>
          <w:rFonts w:hint="eastAsia" w:ascii="宋体" w:hAnsi="宋体" w:cs="宋体"/>
          <w:b/>
          <w:bCs/>
          <w:color w:val="000000"/>
          <w:kern w:val="0"/>
          <w:sz w:val="24"/>
        </w:rPr>
        <w:t>G</w:t>
      </w:r>
      <w:r>
        <w:rPr>
          <w:rStyle w:val="6"/>
          <w:rFonts w:ascii="宋体" w:hAnsi="宋体" w:cs="宋体"/>
          <w:b/>
          <w:bCs/>
          <w:color w:val="000000"/>
          <w:kern w:val="0"/>
          <w:sz w:val="24"/>
          <w:lang w:eastAsia="zh-TW"/>
        </w:rPr>
        <w:t>A标准仍有效。</w:t>
      </w:r>
    </w:p>
    <w:p>
      <w:pPr>
        <w:spacing w:line="360" w:lineRule="auto"/>
        <w:ind w:firstLine="482" w:firstLineChars="200"/>
        <w:rPr>
          <w:rStyle w:val="6"/>
          <w:rFonts w:hint="eastAsia" w:ascii="宋体" w:hAnsi="宋体" w:cs="宋体"/>
          <w:b/>
          <w:bCs/>
          <w:color w:val="000000"/>
          <w:kern w:val="0"/>
          <w:sz w:val="24"/>
          <w:lang w:eastAsia="zh-TW"/>
        </w:rPr>
      </w:pPr>
      <w:r>
        <w:rPr>
          <w:rStyle w:val="6"/>
          <w:rFonts w:hint="eastAsia" w:ascii="宋体" w:hAnsi="宋体" w:cs="宋体"/>
          <w:b/>
          <w:bCs/>
          <w:color w:val="000000"/>
          <w:kern w:val="0"/>
          <w:sz w:val="24"/>
          <w:lang w:eastAsia="zh-TW"/>
        </w:rPr>
        <w:t>3、具有国家标准或行业标准的消防车，必须提供型式实验合格的检验报告或自愿性产品认证证书；没有国家标准或行业标准的消防车，必须提供产品技术鉴定证书。</w:t>
      </w:r>
    </w:p>
    <w:p>
      <w:pPr>
        <w:spacing w:line="360" w:lineRule="auto"/>
        <w:ind w:firstLine="480" w:firstLineChars="200"/>
        <w:rPr>
          <w:color w:val="000000"/>
        </w:rPr>
      </w:pPr>
      <w:r>
        <w:rPr>
          <w:rFonts w:hint="eastAsia" w:ascii="宋体" w:hAnsi="宋体" w:cs="宋体"/>
          <w:color w:val="000000"/>
          <w:sz w:val="24"/>
        </w:rPr>
        <w:t>★</w:t>
      </w:r>
      <w:r>
        <w:rPr>
          <w:rStyle w:val="6"/>
          <w:rFonts w:hint="eastAsia" w:ascii="宋体" w:hAnsi="宋体" w:cs="宋体"/>
          <w:b/>
          <w:bCs/>
          <w:color w:val="000000"/>
          <w:kern w:val="0"/>
          <w:sz w:val="24"/>
          <w:lang w:eastAsia="zh-TW"/>
        </w:rPr>
        <w:t>4、</w:t>
      </w:r>
      <w:r>
        <w:rPr>
          <w:rStyle w:val="6"/>
          <w:rFonts w:hint="eastAsia" w:ascii="宋体" w:hAnsi="宋体" w:cs="宋体"/>
          <w:b/>
          <w:bCs/>
          <w:color w:val="000000"/>
          <w:kern w:val="0"/>
          <w:sz w:val="24"/>
        </w:rPr>
        <w:t>国产消防车必须列入工信部《道路机动车辆生产企业及产品公告》。（原则上必须在开标时提供；因行业特殊性，开标时确无法提供的，交车时必须提供，并在投标时由投标人提供相关承诺函或申明函并加盖生产厂商的公章）</w:t>
      </w:r>
    </w:p>
    <w:p>
      <w:pPr>
        <w:suppressAutoHyphens/>
        <w:autoSpaceDN w:val="0"/>
        <w:spacing w:line="360" w:lineRule="auto"/>
        <w:textAlignment w:val="baseline"/>
        <w:outlineLvl w:val="1"/>
        <w:rPr>
          <w:rFonts w:ascii="宋体" w:hAnsi="宋体"/>
          <w:b/>
          <w:bCs/>
          <w:color w:val="000000"/>
          <w:kern w:val="0"/>
          <w:sz w:val="24"/>
        </w:rPr>
      </w:pPr>
      <w:r>
        <w:rPr>
          <w:rFonts w:ascii="宋体" w:hAnsi="宋体"/>
          <w:b/>
          <w:bCs/>
          <w:color w:val="000000"/>
          <w:kern w:val="0"/>
          <w:sz w:val="24"/>
        </w:rPr>
        <w:t>一、项目概述</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1、项目名称：</w:t>
      </w:r>
      <w:r>
        <w:rPr>
          <w:rFonts w:ascii="宋体" w:hAnsi="宋体" w:cs="宋体"/>
          <w:color w:val="000000"/>
          <w:sz w:val="24"/>
        </w:rPr>
        <w:t>四川省消防救援总队遂宁射洪消防车辆装备采购项目标包2第二次</w:t>
      </w:r>
    </w:p>
    <w:p>
      <w:pPr>
        <w:suppressAutoHyphens/>
        <w:autoSpaceDN w:val="0"/>
        <w:spacing w:line="360" w:lineRule="auto"/>
        <w:textAlignment w:val="baseline"/>
        <w:outlineLvl w:val="1"/>
        <w:rPr>
          <w:rFonts w:hint="eastAsia" w:ascii="宋体" w:hAnsi="宋体"/>
          <w:b/>
          <w:bCs/>
          <w:color w:val="000000"/>
          <w:kern w:val="0"/>
          <w:sz w:val="24"/>
        </w:rPr>
      </w:pPr>
      <w:r>
        <w:rPr>
          <w:rFonts w:hint="eastAsia" w:ascii="宋体" w:hAnsi="宋体"/>
          <w:b/>
          <w:bCs/>
          <w:color w:val="000000"/>
          <w:kern w:val="0"/>
          <w:sz w:val="24"/>
        </w:rPr>
        <w:t>二、技术参数及要求</w:t>
      </w:r>
    </w:p>
    <w:p>
      <w:pPr>
        <w:spacing w:line="360" w:lineRule="auto"/>
        <w:jc w:val="left"/>
        <w:outlineLvl w:val="1"/>
        <w:rPr>
          <w:rFonts w:hint="eastAsia" w:ascii="宋体" w:hAnsi="宋体" w:cs="宋体"/>
          <w:b/>
          <w:bCs/>
          <w:sz w:val="24"/>
        </w:rPr>
      </w:pPr>
      <w:bookmarkStart w:id="0" w:name="_Toc23270"/>
      <w:bookmarkStart w:id="1" w:name="_Toc17938"/>
      <w:r>
        <w:rPr>
          <w:rFonts w:hint="eastAsia" w:ascii="宋体" w:hAnsi="宋体" w:cs="宋体"/>
          <w:b/>
          <w:bCs/>
          <w:sz w:val="24"/>
        </w:rPr>
        <w:t>登高平台</w:t>
      </w:r>
      <w:bookmarkEnd w:id="0"/>
      <w:r>
        <w:rPr>
          <w:rFonts w:hint="eastAsia" w:ascii="宋体" w:hAnsi="宋体" w:cs="宋体"/>
          <w:b/>
          <w:bCs/>
          <w:sz w:val="24"/>
        </w:rPr>
        <w:t>消防车</w:t>
      </w:r>
      <w:bookmarkEnd w:id="1"/>
    </w:p>
    <w:tbl>
      <w:tblPr>
        <w:tblStyle w:val="4"/>
        <w:tblW w:w="98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902"/>
        <w:gridCol w:w="1048"/>
        <w:gridCol w:w="780"/>
        <w:gridCol w:w="63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blHeader/>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902"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048"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78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 w:val="24"/>
              </w:rPr>
            </w:pPr>
            <w:r>
              <w:rPr>
                <w:rFonts w:hint="eastAsia" w:ascii="宋体" w:hAnsi="宋体" w:cs="宋体"/>
                <w:sz w:val="24"/>
              </w:rPr>
              <w:t>单位</w:t>
            </w:r>
          </w:p>
        </w:tc>
        <w:tc>
          <w:tcPr>
            <w:tcW w:w="6398"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产品主要技术参数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720" w:type="dxa"/>
            <w:tcBorders>
              <w:left w:val="single" w:color="auto" w:sz="8" w:space="0"/>
              <w:right w:val="single" w:color="auto" w:sz="8"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902" w:type="dxa"/>
            <w:tcBorders>
              <w:left w:val="single" w:color="auto" w:sz="8" w:space="0"/>
              <w:right w:val="single" w:color="auto" w:sz="8" w:space="0"/>
            </w:tcBorders>
            <w:noWrap w:val="0"/>
            <w:vAlign w:val="center"/>
          </w:tcPr>
          <w:p>
            <w:pPr>
              <w:jc w:val="center"/>
              <w:rPr>
                <w:rFonts w:hint="eastAsia" w:ascii="宋体" w:hAnsi="宋体" w:cs="宋体"/>
                <w:sz w:val="24"/>
              </w:rPr>
            </w:pPr>
            <w:r>
              <w:rPr>
                <w:rFonts w:hint="eastAsia" w:ascii="宋体" w:hAnsi="宋体" w:cs="宋体"/>
                <w:sz w:val="24"/>
              </w:rPr>
              <w:t>登高平台消防车（核心产品）</w:t>
            </w:r>
          </w:p>
        </w:tc>
        <w:tc>
          <w:tcPr>
            <w:tcW w:w="1048" w:type="dxa"/>
            <w:tcBorders>
              <w:left w:val="single" w:color="auto" w:sz="8" w:space="0"/>
              <w:right w:val="single" w:color="auto" w:sz="8"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780" w:type="dxa"/>
            <w:tcBorders>
              <w:top w:val="single" w:color="auto" w:sz="8" w:space="0"/>
              <w:left w:val="single" w:color="auto" w:sz="8" w:space="0"/>
              <w:bottom w:val="single" w:color="auto" w:sz="4" w:space="0"/>
              <w:right w:val="single" w:color="auto" w:sz="8" w:space="0"/>
            </w:tcBorders>
            <w:noWrap w:val="0"/>
            <w:vAlign w:val="center"/>
          </w:tcPr>
          <w:p>
            <w:pPr>
              <w:jc w:val="center"/>
              <w:rPr>
                <w:rFonts w:hint="eastAsia" w:ascii="宋体" w:hAnsi="宋体" w:cs="宋体"/>
                <w:sz w:val="24"/>
              </w:rPr>
            </w:pPr>
            <w:r>
              <w:rPr>
                <w:rFonts w:hint="eastAsia" w:ascii="宋体" w:hAnsi="宋体" w:cs="宋体"/>
                <w:sz w:val="24"/>
              </w:rPr>
              <w:t>台</w:t>
            </w:r>
          </w:p>
        </w:tc>
        <w:tc>
          <w:tcPr>
            <w:tcW w:w="6398" w:type="dxa"/>
            <w:tcBorders>
              <w:top w:val="single" w:color="auto" w:sz="8" w:space="0"/>
              <w:left w:val="single" w:color="auto" w:sz="8"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一、整车参数</w:t>
            </w:r>
          </w:p>
          <w:p>
            <w:pPr>
              <w:rPr>
                <w:rFonts w:hint="eastAsia" w:ascii="宋体" w:hAnsi="宋体" w:cs="宋体"/>
                <w:sz w:val="24"/>
              </w:rPr>
            </w:pPr>
            <w:r>
              <w:rPr>
                <w:rFonts w:hint="eastAsia" w:ascii="宋体" w:hAnsi="宋体" w:cs="宋体"/>
                <w:sz w:val="24"/>
              </w:rPr>
              <w:t>★排放标准：国VI。</w:t>
            </w:r>
          </w:p>
          <w:p>
            <w:pPr>
              <w:pStyle w:val="2"/>
              <w:rPr>
                <w:rFonts w:hint="eastAsia"/>
                <w:lang w:val="en-US" w:eastAsia="zh-CN"/>
              </w:rPr>
            </w:pPr>
            <w:r>
              <w:rPr>
                <w:rFonts w:hint="eastAsia" w:ascii="宋体" w:hAnsi="宋体" w:cs="宋体"/>
                <w:sz w:val="24"/>
                <w:lang w:val="en-US" w:eastAsia="zh-CN"/>
              </w:rPr>
              <w:t>★最大作业高度：≥50m。</w:t>
            </w:r>
          </w:p>
          <w:p>
            <w:pPr>
              <w:rPr>
                <w:rFonts w:hint="eastAsia" w:ascii="宋体" w:hAnsi="宋体" w:cs="宋体"/>
                <w:sz w:val="24"/>
              </w:rPr>
            </w:pPr>
            <w:r>
              <w:rPr>
                <w:rFonts w:hint="eastAsia" w:ascii="宋体" w:hAnsi="宋体" w:cs="宋体"/>
                <w:sz w:val="24"/>
              </w:rPr>
              <w:t>1、外形尺寸：</w:t>
            </w:r>
            <w:r>
              <w:rPr>
                <w:rFonts w:hint="eastAsia" w:eastAsia="方正仿宋_GBK"/>
                <w:kern w:val="0"/>
                <w:sz w:val="24"/>
              </w:rPr>
              <w:t>≤（长×宽×高）12200mm×2540mm×4000mm</w:t>
            </w:r>
            <w:r>
              <w:rPr>
                <w:rFonts w:hint="eastAsia" w:ascii="宋体" w:hAnsi="宋体" w:cs="宋体"/>
                <w:sz w:val="24"/>
              </w:rPr>
              <w:t>；满载质量≥43000kg。</w:t>
            </w:r>
          </w:p>
          <w:p>
            <w:pPr>
              <w:rPr>
                <w:rFonts w:hint="eastAsia" w:ascii="宋体" w:hAnsi="宋体" w:cs="宋体"/>
                <w:sz w:val="24"/>
              </w:rPr>
            </w:pPr>
            <w:r>
              <w:rPr>
                <w:rFonts w:hint="eastAsia" w:ascii="宋体" w:hAnsi="宋体" w:cs="宋体"/>
                <w:sz w:val="24"/>
              </w:rPr>
              <w:t>▲2、灭火剂容量：≥4000kg（水）+1800kg（泡沫）。</w:t>
            </w:r>
          </w:p>
          <w:p>
            <w:pPr>
              <w:rPr>
                <w:rFonts w:hint="eastAsia" w:ascii="宋体" w:hAnsi="宋体" w:cs="宋体"/>
                <w:sz w:val="24"/>
              </w:rPr>
            </w:pPr>
            <w:r>
              <w:rPr>
                <w:rFonts w:hint="eastAsia" w:ascii="宋体" w:hAnsi="宋体" w:cs="宋体"/>
                <w:sz w:val="24"/>
              </w:rPr>
              <w:t>3、乘员人数：≥2人；最高车数：≥85km/h；比功率：≥9.5（功率/吨位）；</w:t>
            </w:r>
          </w:p>
          <w:p>
            <w:pPr>
              <w:rPr>
                <w:rFonts w:hint="eastAsia" w:ascii="宋体" w:hAnsi="宋体" w:cs="宋体"/>
                <w:sz w:val="24"/>
              </w:rPr>
            </w:pPr>
            <w:r>
              <w:rPr>
                <w:rFonts w:hint="eastAsia" w:ascii="宋体" w:hAnsi="宋体" w:cs="宋体"/>
                <w:sz w:val="24"/>
              </w:rPr>
              <w:t>▲4、最大作业幅度：≥22m。</w:t>
            </w:r>
          </w:p>
          <w:p>
            <w:pPr>
              <w:rPr>
                <w:rFonts w:hint="eastAsia" w:ascii="宋体" w:hAnsi="宋体" w:cs="宋体"/>
                <w:sz w:val="24"/>
              </w:rPr>
            </w:pPr>
            <w:r>
              <w:rPr>
                <w:rFonts w:hint="eastAsia" w:ascii="宋体" w:hAnsi="宋体" w:cs="宋体"/>
                <w:sz w:val="24"/>
              </w:rPr>
              <w:t>5、工作平台载荷：≥450kg。</w:t>
            </w:r>
          </w:p>
          <w:p>
            <w:pPr>
              <w:rPr>
                <w:rFonts w:hint="eastAsia" w:ascii="宋体" w:hAnsi="宋体" w:cs="宋体"/>
                <w:sz w:val="24"/>
              </w:rPr>
            </w:pPr>
            <w:r>
              <w:rPr>
                <w:rFonts w:hint="eastAsia" w:ascii="宋体" w:hAnsi="宋体" w:cs="宋体"/>
                <w:sz w:val="24"/>
              </w:rPr>
              <w:t>二、底盘</w:t>
            </w:r>
          </w:p>
          <w:p>
            <w:pPr>
              <w:rPr>
                <w:rFonts w:hint="eastAsia" w:ascii="宋体" w:hAnsi="宋体" w:cs="宋体"/>
                <w:sz w:val="24"/>
              </w:rPr>
            </w:pPr>
            <w:r>
              <w:rPr>
                <w:rFonts w:hint="eastAsia" w:ascii="宋体" w:hAnsi="宋体" w:cs="宋体"/>
                <w:sz w:val="24"/>
              </w:rPr>
              <w:t>6、底盘:二类底盘；轴距：1995+4405+1370（±100）mm。</w:t>
            </w:r>
          </w:p>
          <w:p>
            <w:pPr>
              <w:rPr>
                <w:rFonts w:hint="eastAsia" w:ascii="宋体" w:hAnsi="宋体" w:cs="宋体"/>
                <w:sz w:val="24"/>
              </w:rPr>
            </w:pPr>
            <w:r>
              <w:rPr>
                <w:rFonts w:hint="eastAsia" w:ascii="宋体" w:hAnsi="宋体" w:cs="宋体"/>
                <w:sz w:val="24"/>
              </w:rPr>
              <w:t>▲7、发动机功率/转速：≥400kW。</w:t>
            </w:r>
          </w:p>
          <w:p>
            <w:pPr>
              <w:rPr>
                <w:rFonts w:hint="eastAsia" w:ascii="宋体" w:hAnsi="宋体" w:cs="宋体"/>
                <w:sz w:val="24"/>
              </w:rPr>
            </w:pPr>
            <w:r>
              <w:rPr>
                <w:rFonts w:hint="eastAsia" w:ascii="宋体" w:hAnsi="宋体" w:cs="宋体"/>
                <w:sz w:val="24"/>
              </w:rPr>
              <w:t>8、柴油发动机排量：≥12.777L；直列六缸涡轮增压高压共轨，电子控制系统，启动预热系统，强化冷却系统，直立进气系统，前端下防护。最高车速≥85km/h（电子限速）。比功率：≥9.5（功率/吨位）。最小转弯直径≤26.5m。接近角≥16°。离去角≥12°。最大爬坡度≥30%。</w:t>
            </w:r>
          </w:p>
          <w:p>
            <w:pPr>
              <w:rPr>
                <w:rFonts w:hint="eastAsia" w:ascii="宋体" w:hAnsi="宋体" w:cs="宋体"/>
                <w:sz w:val="24"/>
              </w:rPr>
            </w:pPr>
            <w:r>
              <w:rPr>
                <w:rFonts w:hint="eastAsia" w:ascii="宋体" w:hAnsi="宋体" w:cs="宋体"/>
                <w:sz w:val="24"/>
              </w:rPr>
              <w:t>▲9、驱动形式：8×4。</w:t>
            </w:r>
          </w:p>
          <w:p>
            <w:pPr>
              <w:rPr>
                <w:rFonts w:hint="eastAsia" w:ascii="宋体" w:hAnsi="宋体" w:cs="宋体"/>
                <w:sz w:val="24"/>
              </w:rPr>
            </w:pPr>
            <w:r>
              <w:rPr>
                <w:rFonts w:hint="eastAsia" w:ascii="宋体" w:hAnsi="宋体" w:cs="宋体"/>
                <w:sz w:val="24"/>
              </w:rPr>
              <w:t>10、取力器：</w:t>
            </w:r>
            <w:r>
              <w:rPr>
                <w:rFonts w:hint="eastAsia" w:eastAsia="方正仿宋_GBK"/>
                <w:kern w:val="0"/>
                <w:sz w:val="24"/>
              </w:rPr>
              <w:t>全功率取力器+侧取力器或者其他型式；</w:t>
            </w:r>
            <w:r>
              <w:rPr>
                <w:rFonts w:hint="eastAsia" w:ascii="宋体" w:hAnsi="宋体" w:cs="宋体"/>
                <w:sz w:val="24"/>
              </w:rPr>
              <w:t>燃油箱：≥300L，加油口带滤网，燃油箱盖带锁；≥45L 尿素罐。</w:t>
            </w:r>
          </w:p>
          <w:p>
            <w:pPr>
              <w:rPr>
                <w:rFonts w:hint="eastAsia" w:ascii="宋体" w:hAnsi="宋体" w:cs="宋体"/>
                <w:sz w:val="24"/>
              </w:rPr>
            </w:pPr>
            <w:r>
              <w:rPr>
                <w:rFonts w:hint="eastAsia" w:ascii="宋体" w:hAnsi="宋体" w:cs="宋体"/>
                <w:sz w:val="24"/>
              </w:rPr>
              <w:t>11、轮胎：一、二桥：385/55 R22.5(子午线轮胎) 4条；三、四桥：315/70 R22.5(子午线轮胎) 8条；备胎：1条，与后胎一致。</w:t>
            </w:r>
          </w:p>
          <w:p>
            <w:pPr>
              <w:rPr>
                <w:rFonts w:hint="eastAsia" w:ascii="宋体" w:hAnsi="宋体" w:cs="宋体"/>
                <w:sz w:val="24"/>
              </w:rPr>
            </w:pPr>
            <w:r>
              <w:rPr>
                <w:rFonts w:hint="eastAsia" w:ascii="宋体" w:hAnsi="宋体" w:cs="宋体"/>
                <w:sz w:val="24"/>
              </w:rPr>
              <w:t>12、电气系统：110A发电机；2×12V/225AH蓄电池, 电瓶箱盖可锁。</w:t>
            </w:r>
          </w:p>
          <w:p>
            <w:pPr>
              <w:rPr>
                <w:rFonts w:hint="eastAsia" w:ascii="宋体" w:hAnsi="宋体" w:cs="宋体"/>
                <w:sz w:val="24"/>
              </w:rPr>
            </w:pPr>
            <w:r>
              <w:rPr>
                <w:rFonts w:hint="eastAsia" w:ascii="宋体" w:hAnsi="宋体" w:cs="宋体"/>
                <w:sz w:val="24"/>
              </w:rPr>
              <w:t>13、驾驶室：电动液压可倾翻式安全型驾驶室；舒适型（悬挂）司机座椅，且前排座椅均装置三点式汽车安全带；电动门窗,电动电加热后视镜，前下视镜，右侧补盲镜、中控锁，两侧广角后视镜；配备两把钥匙；驾驶室暖风系统，空调系统；带CD机收音机,驾驶室外遮阳板。</w:t>
            </w:r>
          </w:p>
          <w:p>
            <w:pPr>
              <w:rPr>
                <w:rFonts w:hint="eastAsia" w:ascii="宋体" w:hAnsi="宋体" w:cs="宋体"/>
                <w:sz w:val="24"/>
              </w:rPr>
            </w:pPr>
            <w:r>
              <w:rPr>
                <w:rFonts w:hint="eastAsia" w:ascii="宋体" w:hAnsi="宋体" w:cs="宋体"/>
                <w:sz w:val="24"/>
              </w:rPr>
              <w:t>14、制动系统：</w:t>
            </w:r>
            <w:r>
              <w:rPr>
                <w:rFonts w:hint="eastAsia" w:ascii="宋体" w:hAnsi="宋体" w:cs="宋体"/>
                <w:sz w:val="24"/>
                <w:lang w:val="en-GB"/>
              </w:rPr>
              <w:t>行车制动：压缩空气式，前后桥独立双回路，驱动桥安装感载阀，钢制储气罐，空气干燥罐和制动消音器，自动制动间隙调节；驻车制动：弹簧加载驻车制动作用于后桥；辅助制动：发动机制动(VEB+)；智能制动系统，ABS制动防抱死装置。</w:t>
            </w:r>
          </w:p>
          <w:p>
            <w:pPr>
              <w:rPr>
                <w:rFonts w:hint="eastAsia" w:ascii="宋体" w:hAnsi="宋体" w:cs="宋体"/>
                <w:sz w:val="24"/>
              </w:rPr>
            </w:pPr>
            <w:r>
              <w:rPr>
                <w:rFonts w:hint="eastAsia" w:ascii="宋体" w:hAnsi="宋体" w:cs="宋体"/>
                <w:sz w:val="24"/>
              </w:rPr>
              <w:t>三、消防罐</w:t>
            </w:r>
          </w:p>
          <w:p>
            <w:pPr>
              <w:rPr>
                <w:rFonts w:hint="eastAsia" w:ascii="宋体" w:hAnsi="宋体" w:cs="宋体"/>
                <w:sz w:val="24"/>
              </w:rPr>
            </w:pPr>
            <w:r>
              <w:rPr>
                <w:rFonts w:hint="eastAsia" w:ascii="宋体" w:hAnsi="宋体" w:cs="宋体"/>
                <w:sz w:val="24"/>
              </w:rPr>
              <w:t>15、材料：304不锈钢；板厚：侧板、底板≥4mm，其余≥3mm。</w:t>
            </w:r>
          </w:p>
          <w:p>
            <w:pPr>
              <w:rPr>
                <w:rFonts w:hint="eastAsia" w:ascii="宋体" w:hAnsi="宋体" w:cs="宋体"/>
                <w:sz w:val="24"/>
              </w:rPr>
            </w:pPr>
            <w:r>
              <w:rPr>
                <w:rFonts w:hint="eastAsia" w:ascii="宋体" w:hAnsi="宋体" w:cs="宋体"/>
                <w:sz w:val="24"/>
              </w:rPr>
              <w:t>16、载液量：≥4000kg；载泡沫量：≥1800kg。</w:t>
            </w:r>
          </w:p>
          <w:p>
            <w:pPr>
              <w:rPr>
                <w:rFonts w:hint="eastAsia" w:ascii="宋体" w:hAnsi="宋体" w:cs="宋体"/>
                <w:sz w:val="24"/>
              </w:rPr>
            </w:pPr>
            <w:r>
              <w:rPr>
                <w:rFonts w:hint="eastAsia" w:ascii="宋体" w:hAnsi="宋体" w:cs="宋体"/>
                <w:sz w:val="24"/>
              </w:rPr>
              <w:t>17、罐体内防荡板网格式设置，设纵向、横向防荡板。</w:t>
            </w:r>
          </w:p>
          <w:p>
            <w:pPr>
              <w:rPr>
                <w:rFonts w:hint="eastAsia" w:ascii="宋体" w:hAnsi="宋体" w:cs="宋体"/>
                <w:sz w:val="24"/>
              </w:rPr>
            </w:pPr>
            <w:r>
              <w:rPr>
                <w:rFonts w:hint="eastAsia" w:ascii="宋体" w:hAnsi="宋体" w:cs="宋体"/>
                <w:sz w:val="24"/>
              </w:rPr>
              <w:t>18、水罐设DN100溢水管，带溢水帽；泡沫罐设呼吸阀；水罐和泡沫罐均安装电子液位计；罐顶采用防滑花纹板；罐体内表面喷涂防腐材料。</w:t>
            </w:r>
          </w:p>
          <w:p>
            <w:pPr>
              <w:rPr>
                <w:rFonts w:hint="eastAsia" w:ascii="宋体" w:hAnsi="宋体" w:cs="宋体"/>
                <w:sz w:val="24"/>
              </w:rPr>
            </w:pPr>
            <w:r>
              <w:rPr>
                <w:rFonts w:hint="eastAsia" w:ascii="宋体" w:hAnsi="宋体" w:cs="宋体"/>
                <w:sz w:val="24"/>
              </w:rPr>
              <w:t>19、水罐：设≥φ450mm人孔一个,带有快速锁定/开启，罐体压力超过1kg时的自动泄压，人孔盖涂绿色；泡沫罐：设≥φ450mm人孔一个,带有快速锁定/开启，罐体压力超过1kg时的自动泄压，人孔盖涂黄色。</w:t>
            </w:r>
          </w:p>
          <w:p>
            <w:pPr>
              <w:rPr>
                <w:rFonts w:hint="eastAsia" w:ascii="宋体" w:hAnsi="宋体" w:cs="宋体"/>
                <w:sz w:val="24"/>
              </w:rPr>
            </w:pPr>
            <w:r>
              <w:rPr>
                <w:rFonts w:hint="eastAsia" w:ascii="宋体" w:hAnsi="宋体" w:cs="宋体"/>
                <w:sz w:val="24"/>
              </w:rPr>
              <w:t>四、消防泵</w:t>
            </w:r>
          </w:p>
          <w:p>
            <w:pPr>
              <w:rPr>
                <w:rFonts w:hint="eastAsia" w:ascii="宋体" w:hAnsi="宋体" w:cs="宋体"/>
                <w:sz w:val="24"/>
              </w:rPr>
            </w:pPr>
            <w:r>
              <w:rPr>
                <w:rFonts w:hint="eastAsia" w:ascii="宋体" w:hAnsi="宋体" w:cs="宋体"/>
                <w:sz w:val="24"/>
              </w:rPr>
              <w:t>20、水泵尺寸：入口法兰：DN150，出口法兰：DN125；铸钢壳体，铜质叶轮，不锈钢传动轴。</w:t>
            </w:r>
          </w:p>
          <w:p>
            <w:pPr>
              <w:rPr>
                <w:rFonts w:hint="eastAsia" w:ascii="宋体" w:hAnsi="宋体" w:cs="宋体"/>
                <w:sz w:val="24"/>
              </w:rPr>
            </w:pPr>
            <w:r>
              <w:rPr>
                <w:rFonts w:hint="eastAsia" w:ascii="宋体" w:hAnsi="宋体" w:cs="宋体"/>
                <w:sz w:val="24"/>
              </w:rPr>
              <w:t>21、裸泵参数：流量：≥100 L/s @ 1.0 MPa。</w:t>
            </w:r>
          </w:p>
          <w:p>
            <w:pPr>
              <w:rPr>
                <w:rFonts w:hint="eastAsia" w:ascii="宋体" w:hAnsi="宋体" w:cs="宋体"/>
                <w:sz w:val="24"/>
              </w:rPr>
            </w:pPr>
            <w:r>
              <w:rPr>
                <w:rFonts w:hint="eastAsia" w:ascii="宋体" w:hAnsi="宋体" w:cs="宋体"/>
                <w:sz w:val="24"/>
              </w:rPr>
              <w:t>22、车载泵参数:≥1.5MPa，≥70L/s。</w:t>
            </w:r>
          </w:p>
          <w:p>
            <w:pPr>
              <w:rPr>
                <w:rFonts w:hint="eastAsia" w:ascii="宋体" w:hAnsi="宋体" w:cs="宋体"/>
                <w:sz w:val="24"/>
              </w:rPr>
            </w:pPr>
            <w:r>
              <w:rPr>
                <w:rFonts w:hint="eastAsia" w:ascii="宋体" w:hAnsi="宋体" w:cs="宋体"/>
                <w:sz w:val="24"/>
              </w:rPr>
              <w:t>23、真空泵：24V电动真空泵，真空度≥-85kPa；吸水深度≥7m。</w:t>
            </w:r>
          </w:p>
          <w:p>
            <w:pPr>
              <w:rPr>
                <w:rFonts w:hint="eastAsia" w:ascii="宋体" w:hAnsi="宋体" w:cs="宋体"/>
                <w:sz w:val="24"/>
              </w:rPr>
            </w:pPr>
            <w:r>
              <w:rPr>
                <w:rFonts w:hint="eastAsia" w:ascii="宋体" w:hAnsi="宋体" w:cs="宋体"/>
                <w:sz w:val="24"/>
              </w:rPr>
              <w:t>五、消防炮</w:t>
            </w:r>
          </w:p>
          <w:p>
            <w:pPr>
              <w:rPr>
                <w:rFonts w:hint="eastAsia" w:ascii="宋体" w:hAnsi="宋体" w:cs="宋体"/>
                <w:sz w:val="24"/>
              </w:rPr>
            </w:pPr>
            <w:r>
              <w:rPr>
                <w:rFonts w:hint="eastAsia" w:ascii="宋体" w:hAnsi="宋体" w:cs="宋体"/>
                <w:sz w:val="24"/>
              </w:rPr>
              <w:t>24、水、泡沫两用电遥控消防炮。</w:t>
            </w:r>
          </w:p>
          <w:p>
            <w:pPr>
              <w:rPr>
                <w:rFonts w:hint="eastAsia" w:ascii="宋体" w:hAnsi="宋体" w:cs="宋体"/>
                <w:sz w:val="24"/>
              </w:rPr>
            </w:pPr>
            <w:r>
              <w:rPr>
                <w:rFonts w:hint="eastAsia" w:ascii="宋体" w:hAnsi="宋体" w:cs="宋体"/>
                <w:sz w:val="24"/>
              </w:rPr>
              <w:t>25、裸炮参数：流量可调950～7200L/min，额定工作压力≥0.64MPa。</w:t>
            </w:r>
          </w:p>
          <w:p>
            <w:pPr>
              <w:rPr>
                <w:rFonts w:hint="eastAsia" w:ascii="宋体" w:hAnsi="宋体" w:cs="宋体"/>
                <w:sz w:val="24"/>
              </w:rPr>
            </w:pPr>
            <w:r>
              <w:rPr>
                <w:rFonts w:hint="eastAsia" w:ascii="宋体" w:hAnsi="宋体" w:cs="宋体"/>
                <w:sz w:val="24"/>
              </w:rPr>
              <w:t>26、车载炮参数：≥1.0MPa，64L/s，回转角度≥﹣45°～≤50°； 仰角≥50°；俯角≤-60°。≥150m无线遥控操作。</w:t>
            </w:r>
          </w:p>
          <w:p>
            <w:pPr>
              <w:rPr>
                <w:rFonts w:hint="eastAsia" w:ascii="宋体" w:hAnsi="宋体" w:cs="宋体"/>
                <w:sz w:val="24"/>
              </w:rPr>
            </w:pPr>
            <w:r>
              <w:rPr>
                <w:rFonts w:hint="eastAsia" w:ascii="宋体" w:hAnsi="宋体" w:cs="宋体"/>
                <w:sz w:val="24"/>
              </w:rPr>
              <w:t>27、打水射程：≥70m，打泡沫射程：≥65m。</w:t>
            </w:r>
          </w:p>
          <w:p>
            <w:pPr>
              <w:rPr>
                <w:rFonts w:hint="eastAsia" w:ascii="宋体" w:hAnsi="宋体" w:cs="宋体"/>
                <w:sz w:val="24"/>
              </w:rPr>
            </w:pPr>
            <w:r>
              <w:rPr>
                <w:rFonts w:hint="eastAsia" w:ascii="宋体" w:hAnsi="宋体" w:cs="宋体"/>
                <w:sz w:val="24"/>
              </w:rPr>
              <w:t>六、泡沫系统</w:t>
            </w:r>
          </w:p>
          <w:p>
            <w:pPr>
              <w:rPr>
                <w:rFonts w:hint="eastAsia" w:ascii="宋体" w:hAnsi="宋体" w:cs="宋体"/>
                <w:sz w:val="24"/>
              </w:rPr>
            </w:pPr>
            <w:r>
              <w:rPr>
                <w:rFonts w:hint="eastAsia" w:ascii="宋体" w:hAnsi="宋体" w:cs="宋体"/>
                <w:sz w:val="24"/>
              </w:rPr>
              <w:t>28、自动泡沫比例混合系统，混合比1-10%。</w:t>
            </w:r>
          </w:p>
          <w:p>
            <w:pPr>
              <w:rPr>
                <w:rFonts w:hint="eastAsia" w:ascii="宋体" w:hAnsi="宋体" w:cs="宋体"/>
                <w:sz w:val="24"/>
              </w:rPr>
            </w:pPr>
            <w:r>
              <w:rPr>
                <w:rFonts w:hint="eastAsia" w:ascii="宋体" w:hAnsi="宋体" w:cs="宋体"/>
                <w:sz w:val="24"/>
              </w:rPr>
              <w:t>七、消防系统</w:t>
            </w:r>
          </w:p>
          <w:p>
            <w:pPr>
              <w:rPr>
                <w:rFonts w:hint="eastAsia" w:ascii="宋体" w:hAnsi="宋体" w:cs="宋体"/>
                <w:sz w:val="24"/>
              </w:rPr>
            </w:pPr>
            <w:r>
              <w:rPr>
                <w:rFonts w:hint="eastAsia" w:ascii="宋体" w:hAnsi="宋体" w:cs="宋体"/>
                <w:sz w:val="24"/>
              </w:rPr>
              <w:t>29、水路控制方式：电控气动。</w:t>
            </w:r>
          </w:p>
          <w:p>
            <w:pPr>
              <w:rPr>
                <w:rFonts w:hint="eastAsia" w:ascii="宋体" w:hAnsi="宋体" w:cs="宋体"/>
                <w:sz w:val="24"/>
              </w:rPr>
            </w:pPr>
            <w:r>
              <w:rPr>
                <w:rFonts w:hint="eastAsia" w:ascii="宋体" w:hAnsi="宋体" w:cs="宋体"/>
                <w:sz w:val="24"/>
              </w:rPr>
              <w:t>30、控制面板位置：车体左侧。</w:t>
            </w:r>
          </w:p>
          <w:p>
            <w:pPr>
              <w:rPr>
                <w:rFonts w:hint="eastAsia" w:ascii="宋体" w:hAnsi="宋体" w:cs="宋体"/>
                <w:sz w:val="24"/>
              </w:rPr>
            </w:pPr>
            <w:r>
              <w:rPr>
                <w:rFonts w:hint="eastAsia" w:ascii="宋体" w:hAnsi="宋体" w:cs="宋体"/>
                <w:sz w:val="24"/>
              </w:rPr>
              <w:t>31、消防管路：下车：铝合金管；上车：铝合金伸缩水管+橡胶软管。</w:t>
            </w:r>
          </w:p>
          <w:p>
            <w:pPr>
              <w:rPr>
                <w:rFonts w:hint="eastAsia" w:ascii="宋体" w:hAnsi="宋体" w:cs="宋体"/>
                <w:sz w:val="24"/>
              </w:rPr>
            </w:pPr>
            <w:r>
              <w:rPr>
                <w:rFonts w:hint="eastAsia" w:ascii="宋体" w:hAnsi="宋体" w:cs="宋体"/>
                <w:sz w:val="24"/>
              </w:rPr>
              <w:t>32、消防接口配置：</w:t>
            </w:r>
          </w:p>
          <w:tbl>
            <w:tblPr>
              <w:tblStyle w:val="4"/>
              <w:tblW w:w="846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90"/>
              <w:gridCol w:w="1435"/>
              <w:gridCol w:w="22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780" w:type="dxa"/>
                  <w:noWrap w:val="0"/>
                  <w:vAlign w:val="top"/>
                </w:tcPr>
                <w:p>
                  <w:r>
                    <w:rPr>
                      <w:rFonts w:hint="eastAsia" w:ascii="宋体" w:hAnsi="宋体" w:cs="宋体"/>
                      <w:sz w:val="24"/>
                    </w:rPr>
                    <w:t>序号</w:t>
                  </w:r>
                </w:p>
              </w:tc>
              <w:tc>
                <w:tcPr>
                  <w:tcW w:w="1790" w:type="dxa"/>
                  <w:noWrap w:val="0"/>
                  <w:vAlign w:val="top"/>
                </w:tcPr>
                <w:p>
                  <w:r>
                    <w:rPr>
                      <w:rFonts w:hint="eastAsia" w:ascii="宋体" w:hAnsi="宋体" w:cs="宋体"/>
                      <w:sz w:val="24"/>
                    </w:rPr>
                    <w:t>接口</w:t>
                  </w:r>
                </w:p>
              </w:tc>
              <w:tc>
                <w:tcPr>
                  <w:tcW w:w="1435" w:type="dxa"/>
                  <w:noWrap w:val="0"/>
                  <w:vAlign w:val="top"/>
                </w:tcPr>
                <w:p>
                  <w:r>
                    <w:rPr>
                      <w:rFonts w:hint="eastAsia" w:ascii="宋体" w:hAnsi="宋体" w:cs="宋体"/>
                      <w:sz w:val="24"/>
                    </w:rPr>
                    <w:t>规格</w:t>
                  </w:r>
                </w:p>
              </w:tc>
              <w:tc>
                <w:tcPr>
                  <w:tcW w:w="2220" w:type="dxa"/>
                  <w:noWrap w:val="0"/>
                  <w:vAlign w:val="top"/>
                </w:tcPr>
                <w:p>
                  <w:r>
                    <w:rPr>
                      <w:rFonts w:hint="eastAsia" w:ascii="宋体" w:hAnsi="宋体" w:cs="宋体"/>
                      <w:sz w:val="24"/>
                    </w:rPr>
                    <w:t>阀型式</w:t>
                  </w:r>
                </w:p>
              </w:tc>
              <w:tc>
                <w:tcPr>
                  <w:tcW w:w="2235" w:type="dxa"/>
                  <w:noWrap w:val="0"/>
                  <w:vAlign w:val="top"/>
                </w:tcPr>
                <w:p>
                  <w:r>
                    <w:rPr>
                      <w:rFonts w:hint="eastAsia" w:ascii="宋体" w:hAnsi="宋体" w:cs="宋体"/>
                      <w:sz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noWrap w:val="0"/>
                  <w:vAlign w:val="top"/>
                </w:tcPr>
                <w:p>
                  <w:pPr>
                    <w:rPr>
                      <w:rFonts w:hint="eastAsia" w:ascii="宋体" w:hAnsi="宋体" w:cs="宋体"/>
                      <w:sz w:val="24"/>
                    </w:rPr>
                  </w:pPr>
                  <w:r>
                    <w:rPr>
                      <w:rFonts w:hint="eastAsia" w:ascii="宋体" w:hAnsi="宋体" w:cs="宋体"/>
                      <w:sz w:val="24"/>
                    </w:rPr>
                    <w:t>1</w:t>
                  </w:r>
                </w:p>
              </w:tc>
              <w:tc>
                <w:tcPr>
                  <w:tcW w:w="1790" w:type="dxa"/>
                  <w:noWrap w:val="0"/>
                  <w:vAlign w:val="top"/>
                </w:tcPr>
                <w:p>
                  <w:pPr>
                    <w:rPr>
                      <w:rFonts w:hint="eastAsia" w:ascii="宋体" w:hAnsi="宋体" w:cs="宋体"/>
                      <w:sz w:val="24"/>
                    </w:rPr>
                  </w:pPr>
                  <w:r>
                    <w:rPr>
                      <w:rFonts w:hint="eastAsia" w:ascii="宋体" w:hAnsi="宋体" w:cs="宋体"/>
                      <w:sz w:val="24"/>
                    </w:rPr>
                    <w:t>外供水/外出水接口</w:t>
                  </w:r>
                </w:p>
              </w:tc>
              <w:tc>
                <w:tcPr>
                  <w:tcW w:w="1435" w:type="dxa"/>
                  <w:noWrap w:val="0"/>
                  <w:vAlign w:val="top"/>
                </w:tcPr>
                <w:p>
                  <w:pPr>
                    <w:rPr>
                      <w:rFonts w:hint="eastAsia" w:ascii="宋体" w:hAnsi="宋体" w:cs="宋体"/>
                      <w:sz w:val="24"/>
                    </w:rPr>
                  </w:pPr>
                  <w:r>
                    <w:rPr>
                      <w:rFonts w:hint="eastAsia" w:ascii="宋体" w:hAnsi="宋体" w:cs="宋体"/>
                      <w:sz w:val="24"/>
                    </w:rPr>
                    <w:t>4×DN80</w:t>
                  </w:r>
                </w:p>
              </w:tc>
              <w:tc>
                <w:tcPr>
                  <w:tcW w:w="2220" w:type="dxa"/>
                  <w:noWrap w:val="0"/>
                  <w:vAlign w:val="top"/>
                </w:tcPr>
                <w:p>
                  <w:pPr>
                    <w:rPr>
                      <w:rFonts w:hint="eastAsia" w:ascii="宋体" w:hAnsi="宋体" w:cs="宋体"/>
                      <w:sz w:val="24"/>
                    </w:rPr>
                  </w:pPr>
                  <w:r>
                    <w:rPr>
                      <w:rFonts w:hint="eastAsia" w:ascii="宋体" w:hAnsi="宋体" w:cs="宋体"/>
                      <w:sz w:val="24"/>
                    </w:rPr>
                    <w:t>手动球阀配接口</w:t>
                  </w:r>
                </w:p>
              </w:tc>
              <w:tc>
                <w:tcPr>
                  <w:tcW w:w="2235" w:type="dxa"/>
                  <w:noWrap w:val="0"/>
                  <w:vAlign w:val="top"/>
                </w:tcPr>
                <w:p>
                  <w:pPr>
                    <w:rPr>
                      <w:rFonts w:hint="eastAsia" w:ascii="宋体" w:hAnsi="宋体" w:cs="宋体"/>
                      <w:sz w:val="24"/>
                    </w:rPr>
                  </w:pPr>
                  <w:r>
                    <w:rPr>
                      <w:rFonts w:hint="eastAsia" w:ascii="宋体" w:hAnsi="宋体" w:cs="宋体"/>
                      <w:sz w:val="24"/>
                    </w:rPr>
                    <w:t>车体左右两侧各2个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noWrap w:val="0"/>
                  <w:vAlign w:val="top"/>
                </w:tcPr>
                <w:p>
                  <w:pPr>
                    <w:rPr>
                      <w:rFonts w:hint="eastAsia" w:ascii="宋体" w:hAnsi="宋体" w:cs="宋体"/>
                      <w:sz w:val="24"/>
                    </w:rPr>
                  </w:pPr>
                  <w:r>
                    <w:rPr>
                      <w:rFonts w:hint="eastAsia" w:ascii="宋体" w:hAnsi="宋体" w:cs="宋体"/>
                      <w:sz w:val="24"/>
                    </w:rPr>
                    <w:t>2</w:t>
                  </w:r>
                </w:p>
              </w:tc>
              <w:tc>
                <w:tcPr>
                  <w:tcW w:w="1790" w:type="dxa"/>
                  <w:noWrap w:val="0"/>
                  <w:vAlign w:val="top"/>
                </w:tcPr>
                <w:p>
                  <w:pPr>
                    <w:rPr>
                      <w:rFonts w:hint="eastAsia" w:ascii="宋体" w:hAnsi="宋体" w:cs="宋体"/>
                      <w:sz w:val="24"/>
                    </w:rPr>
                  </w:pPr>
                  <w:r>
                    <w:rPr>
                      <w:rFonts w:hint="eastAsia" w:ascii="宋体" w:hAnsi="宋体" w:cs="宋体"/>
                      <w:sz w:val="24"/>
                    </w:rPr>
                    <w:t>泵外吸水接口</w:t>
                  </w:r>
                </w:p>
              </w:tc>
              <w:tc>
                <w:tcPr>
                  <w:tcW w:w="1435" w:type="dxa"/>
                  <w:noWrap w:val="0"/>
                  <w:vAlign w:val="top"/>
                </w:tcPr>
                <w:p>
                  <w:pPr>
                    <w:rPr>
                      <w:rFonts w:hint="eastAsia" w:ascii="宋体" w:hAnsi="宋体" w:cs="宋体"/>
                      <w:sz w:val="24"/>
                    </w:rPr>
                  </w:pPr>
                  <w:r>
                    <w:rPr>
                      <w:rFonts w:hint="eastAsia" w:ascii="宋体" w:hAnsi="宋体" w:cs="宋体"/>
                      <w:sz w:val="24"/>
                    </w:rPr>
                    <w:t>3×DN150</w:t>
                  </w:r>
                </w:p>
              </w:tc>
              <w:tc>
                <w:tcPr>
                  <w:tcW w:w="2220" w:type="dxa"/>
                  <w:noWrap w:val="0"/>
                  <w:vAlign w:val="top"/>
                </w:tcPr>
                <w:p>
                  <w:pPr>
                    <w:rPr>
                      <w:rFonts w:hint="eastAsia" w:ascii="宋体" w:hAnsi="宋体" w:cs="宋体"/>
                      <w:sz w:val="24"/>
                    </w:rPr>
                  </w:pPr>
                  <w:r>
                    <w:rPr>
                      <w:rFonts w:hint="eastAsia" w:ascii="宋体" w:hAnsi="宋体" w:cs="宋体"/>
                      <w:sz w:val="24"/>
                    </w:rPr>
                    <w:t>接口配闷盖</w:t>
                  </w:r>
                </w:p>
              </w:tc>
              <w:tc>
                <w:tcPr>
                  <w:tcW w:w="2235" w:type="dxa"/>
                  <w:noWrap w:val="0"/>
                  <w:vAlign w:val="top"/>
                </w:tcPr>
                <w:p>
                  <w:pPr>
                    <w:rPr>
                      <w:rFonts w:hint="eastAsia" w:ascii="宋体" w:hAnsi="宋体" w:cs="宋体"/>
                      <w:sz w:val="24"/>
                    </w:rPr>
                  </w:pPr>
                  <w:r>
                    <w:rPr>
                      <w:rFonts w:hint="eastAsia" w:ascii="宋体" w:hAnsi="宋体" w:cs="宋体"/>
                      <w:sz w:val="24"/>
                    </w:rPr>
                    <w:t>车体左侧1个右侧2个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0" w:type="dxa"/>
                  <w:noWrap w:val="0"/>
                  <w:vAlign w:val="top"/>
                </w:tcPr>
                <w:p>
                  <w:pPr>
                    <w:rPr>
                      <w:rFonts w:hint="eastAsia" w:ascii="宋体" w:hAnsi="宋体" w:cs="宋体"/>
                      <w:sz w:val="24"/>
                    </w:rPr>
                  </w:pPr>
                  <w:r>
                    <w:rPr>
                      <w:rFonts w:hint="eastAsia" w:ascii="宋体" w:hAnsi="宋体" w:cs="宋体"/>
                      <w:sz w:val="24"/>
                    </w:rPr>
                    <w:t>3</w:t>
                  </w:r>
                </w:p>
              </w:tc>
              <w:tc>
                <w:tcPr>
                  <w:tcW w:w="1790" w:type="dxa"/>
                  <w:noWrap w:val="0"/>
                  <w:vAlign w:val="top"/>
                </w:tcPr>
                <w:p>
                  <w:pPr>
                    <w:rPr>
                      <w:rFonts w:hint="eastAsia" w:ascii="宋体" w:hAnsi="宋体" w:cs="宋体"/>
                      <w:sz w:val="24"/>
                    </w:rPr>
                  </w:pPr>
                  <w:r>
                    <w:rPr>
                      <w:rFonts w:hint="eastAsia" w:ascii="宋体" w:hAnsi="宋体" w:cs="宋体"/>
                      <w:sz w:val="24"/>
                    </w:rPr>
                    <w:t>上炮阀</w:t>
                  </w:r>
                </w:p>
              </w:tc>
              <w:tc>
                <w:tcPr>
                  <w:tcW w:w="1435" w:type="dxa"/>
                  <w:noWrap w:val="0"/>
                  <w:vAlign w:val="top"/>
                </w:tcPr>
                <w:p>
                  <w:pPr>
                    <w:rPr>
                      <w:rFonts w:hint="eastAsia" w:ascii="宋体" w:hAnsi="宋体" w:cs="宋体"/>
                      <w:sz w:val="24"/>
                    </w:rPr>
                  </w:pPr>
                  <w:r>
                    <w:rPr>
                      <w:rFonts w:hint="eastAsia" w:ascii="宋体" w:hAnsi="宋体" w:cs="宋体"/>
                      <w:sz w:val="24"/>
                    </w:rPr>
                    <w:t>1×DN100</w:t>
                  </w:r>
                </w:p>
              </w:tc>
              <w:tc>
                <w:tcPr>
                  <w:tcW w:w="2220" w:type="dxa"/>
                  <w:noWrap w:val="0"/>
                  <w:vAlign w:val="top"/>
                </w:tcPr>
                <w:p>
                  <w:pPr>
                    <w:rPr>
                      <w:rFonts w:hint="eastAsia" w:ascii="宋体" w:hAnsi="宋体" w:cs="宋体"/>
                      <w:sz w:val="24"/>
                    </w:rPr>
                  </w:pPr>
                  <w:r>
                    <w:rPr>
                      <w:rFonts w:hint="eastAsia" w:ascii="宋体" w:hAnsi="宋体" w:cs="宋体"/>
                      <w:sz w:val="24"/>
                    </w:rPr>
                    <w:t>手动闸阀</w:t>
                  </w:r>
                </w:p>
              </w:tc>
              <w:tc>
                <w:tcPr>
                  <w:tcW w:w="2235" w:type="dxa"/>
                  <w:noWrap w:val="0"/>
                  <w:vAlign w:val="top"/>
                </w:tcPr>
                <w:p>
                  <w:pPr>
                    <w:rPr>
                      <w:rFonts w:hint="eastAsia" w:ascii="宋体" w:hAnsi="宋体" w:cs="宋体"/>
                      <w:sz w:val="24"/>
                    </w:rPr>
                  </w:pPr>
                  <w:r>
                    <w:rPr>
                      <w:rFonts w:hint="eastAsia" w:ascii="宋体" w:hAnsi="宋体" w:cs="宋体"/>
                      <w:sz w:val="24"/>
                    </w:rPr>
                    <w:t>工作平台前侧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80" w:type="dxa"/>
                  <w:noWrap w:val="0"/>
                  <w:vAlign w:val="top"/>
                </w:tcPr>
                <w:p>
                  <w:pPr>
                    <w:rPr>
                      <w:rFonts w:hint="eastAsia" w:ascii="宋体" w:hAnsi="宋体" w:cs="宋体"/>
                      <w:sz w:val="24"/>
                    </w:rPr>
                  </w:pPr>
                  <w:r>
                    <w:rPr>
                      <w:rFonts w:hint="eastAsia" w:ascii="宋体" w:hAnsi="宋体" w:cs="宋体"/>
                      <w:sz w:val="24"/>
                    </w:rPr>
                    <w:t>4</w:t>
                  </w:r>
                </w:p>
              </w:tc>
              <w:tc>
                <w:tcPr>
                  <w:tcW w:w="1790" w:type="dxa"/>
                  <w:noWrap w:val="0"/>
                  <w:vAlign w:val="top"/>
                </w:tcPr>
                <w:p>
                  <w:pPr>
                    <w:rPr>
                      <w:rFonts w:hint="eastAsia" w:ascii="宋体" w:hAnsi="宋体" w:cs="宋体"/>
                      <w:sz w:val="24"/>
                    </w:rPr>
                  </w:pPr>
                  <w:r>
                    <w:rPr>
                      <w:rFonts w:hint="eastAsia" w:ascii="宋体" w:hAnsi="宋体" w:cs="宋体"/>
                      <w:sz w:val="24"/>
                    </w:rPr>
                    <w:t>水炮管路阀门</w:t>
                  </w:r>
                </w:p>
              </w:tc>
              <w:tc>
                <w:tcPr>
                  <w:tcW w:w="1435" w:type="dxa"/>
                  <w:noWrap w:val="0"/>
                  <w:vAlign w:val="top"/>
                </w:tcPr>
                <w:p>
                  <w:pPr>
                    <w:rPr>
                      <w:rFonts w:hint="eastAsia" w:ascii="宋体" w:hAnsi="宋体" w:cs="宋体"/>
                      <w:sz w:val="24"/>
                    </w:rPr>
                  </w:pPr>
                  <w:r>
                    <w:rPr>
                      <w:rFonts w:hint="eastAsia" w:ascii="宋体" w:hAnsi="宋体" w:cs="宋体"/>
                      <w:sz w:val="24"/>
                    </w:rPr>
                    <w:t>1×DN125</w:t>
                  </w:r>
                </w:p>
              </w:tc>
              <w:tc>
                <w:tcPr>
                  <w:tcW w:w="2220" w:type="dxa"/>
                  <w:noWrap w:val="0"/>
                  <w:vAlign w:val="top"/>
                </w:tcPr>
                <w:p>
                  <w:pPr>
                    <w:rPr>
                      <w:rFonts w:hint="eastAsia" w:ascii="宋体" w:hAnsi="宋体" w:cs="宋体"/>
                      <w:sz w:val="24"/>
                    </w:rPr>
                  </w:pPr>
                  <w:r>
                    <w:rPr>
                      <w:rFonts w:hint="eastAsia" w:ascii="宋体" w:hAnsi="宋体" w:cs="宋体"/>
                      <w:sz w:val="24"/>
                    </w:rPr>
                    <w:t>气动蝶阀</w:t>
                  </w:r>
                </w:p>
              </w:tc>
              <w:tc>
                <w:tcPr>
                  <w:tcW w:w="2235" w:type="dxa"/>
                  <w:noWrap w:val="0"/>
                  <w:vAlign w:val="top"/>
                </w:tcPr>
                <w:p>
                  <w:pPr>
                    <w:rPr>
                      <w:rFonts w:hint="eastAsia" w:ascii="宋体" w:hAnsi="宋体" w:cs="宋体"/>
                      <w:sz w:val="24"/>
                    </w:rPr>
                  </w:pPr>
                  <w:r>
                    <w:rPr>
                      <w:rFonts w:hint="eastAsia" w:ascii="宋体" w:hAnsi="宋体" w:cs="宋体"/>
                      <w:sz w:val="24"/>
                    </w:rPr>
                    <w:t>转台下侧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80" w:type="dxa"/>
                  <w:noWrap w:val="0"/>
                  <w:vAlign w:val="top"/>
                </w:tcPr>
                <w:p>
                  <w:pPr>
                    <w:rPr>
                      <w:rFonts w:hint="eastAsia" w:ascii="宋体" w:hAnsi="宋体" w:cs="宋体"/>
                      <w:sz w:val="24"/>
                    </w:rPr>
                  </w:pPr>
                  <w:r>
                    <w:rPr>
                      <w:rFonts w:hint="eastAsia" w:ascii="宋体" w:hAnsi="宋体" w:cs="宋体"/>
                      <w:sz w:val="24"/>
                    </w:rPr>
                    <w:t>5</w:t>
                  </w:r>
                </w:p>
              </w:tc>
              <w:tc>
                <w:tcPr>
                  <w:tcW w:w="1790" w:type="dxa"/>
                  <w:noWrap w:val="0"/>
                  <w:vAlign w:val="top"/>
                </w:tcPr>
                <w:p>
                  <w:pPr>
                    <w:rPr>
                      <w:rFonts w:hint="eastAsia" w:ascii="宋体" w:hAnsi="宋体" w:cs="宋体"/>
                      <w:sz w:val="24"/>
                    </w:rPr>
                  </w:pPr>
                  <w:r>
                    <w:rPr>
                      <w:rFonts w:hint="eastAsia" w:ascii="宋体" w:hAnsi="宋体" w:cs="宋体"/>
                      <w:sz w:val="24"/>
                    </w:rPr>
                    <w:t>水罐吸水阀</w:t>
                  </w:r>
                </w:p>
              </w:tc>
              <w:tc>
                <w:tcPr>
                  <w:tcW w:w="1435" w:type="dxa"/>
                  <w:noWrap w:val="0"/>
                  <w:vAlign w:val="top"/>
                </w:tcPr>
                <w:p>
                  <w:pPr>
                    <w:rPr>
                      <w:rFonts w:hint="eastAsia" w:ascii="宋体" w:hAnsi="宋体" w:cs="宋体"/>
                      <w:sz w:val="24"/>
                    </w:rPr>
                  </w:pPr>
                  <w:r>
                    <w:rPr>
                      <w:rFonts w:hint="eastAsia" w:ascii="宋体" w:hAnsi="宋体" w:cs="宋体"/>
                      <w:sz w:val="24"/>
                    </w:rPr>
                    <w:t>1×DN150</w:t>
                  </w:r>
                </w:p>
              </w:tc>
              <w:tc>
                <w:tcPr>
                  <w:tcW w:w="2220" w:type="dxa"/>
                  <w:noWrap w:val="0"/>
                  <w:vAlign w:val="top"/>
                </w:tcPr>
                <w:p>
                  <w:pPr>
                    <w:rPr>
                      <w:rFonts w:hint="eastAsia" w:ascii="宋体" w:hAnsi="宋体" w:cs="宋体"/>
                      <w:sz w:val="24"/>
                    </w:rPr>
                  </w:pPr>
                  <w:r>
                    <w:rPr>
                      <w:rFonts w:hint="eastAsia" w:ascii="宋体" w:hAnsi="宋体" w:cs="宋体"/>
                      <w:sz w:val="24"/>
                    </w:rPr>
                    <w:t>气动蝶阀</w:t>
                  </w:r>
                </w:p>
              </w:tc>
              <w:tc>
                <w:tcPr>
                  <w:tcW w:w="2235" w:type="dxa"/>
                  <w:noWrap w:val="0"/>
                  <w:vAlign w:val="top"/>
                </w:tcPr>
                <w:p>
                  <w:pPr>
                    <w:rPr>
                      <w:rFonts w:hint="eastAsia" w:ascii="宋体" w:hAnsi="宋体" w:cs="宋体"/>
                      <w:sz w:val="24"/>
                    </w:rPr>
                  </w:pPr>
                  <w:r>
                    <w:rPr>
                      <w:rFonts w:hint="eastAsia" w:ascii="宋体" w:hAnsi="宋体" w:cs="宋体"/>
                      <w:sz w:val="24"/>
                    </w:rPr>
                    <w:t>车体左侧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noWrap w:val="0"/>
                  <w:vAlign w:val="top"/>
                </w:tcPr>
                <w:p>
                  <w:pPr>
                    <w:rPr>
                      <w:rFonts w:hint="eastAsia" w:ascii="宋体" w:hAnsi="宋体" w:cs="宋体"/>
                      <w:sz w:val="24"/>
                    </w:rPr>
                  </w:pPr>
                  <w:r>
                    <w:rPr>
                      <w:rFonts w:hint="eastAsia" w:ascii="宋体" w:hAnsi="宋体" w:cs="宋体"/>
                      <w:sz w:val="24"/>
                    </w:rPr>
                    <w:t>6</w:t>
                  </w:r>
                </w:p>
              </w:tc>
              <w:tc>
                <w:tcPr>
                  <w:tcW w:w="1790" w:type="dxa"/>
                  <w:noWrap w:val="0"/>
                  <w:vAlign w:val="top"/>
                </w:tcPr>
                <w:p>
                  <w:pPr>
                    <w:rPr>
                      <w:rFonts w:hint="eastAsia" w:ascii="宋体" w:hAnsi="宋体" w:cs="宋体"/>
                      <w:sz w:val="24"/>
                    </w:rPr>
                  </w:pPr>
                  <w:r>
                    <w:rPr>
                      <w:rFonts w:hint="eastAsia" w:ascii="宋体" w:hAnsi="宋体" w:cs="宋体"/>
                      <w:sz w:val="24"/>
                    </w:rPr>
                    <w:t>泵至水罐注水阀</w:t>
                  </w:r>
                </w:p>
              </w:tc>
              <w:tc>
                <w:tcPr>
                  <w:tcW w:w="1435" w:type="dxa"/>
                  <w:noWrap w:val="0"/>
                  <w:vAlign w:val="top"/>
                </w:tcPr>
                <w:p>
                  <w:pPr>
                    <w:rPr>
                      <w:rFonts w:hint="eastAsia" w:ascii="宋体" w:hAnsi="宋体" w:cs="宋体"/>
                      <w:sz w:val="24"/>
                    </w:rPr>
                  </w:pPr>
                  <w:r>
                    <w:rPr>
                      <w:rFonts w:hint="eastAsia" w:ascii="宋体" w:hAnsi="宋体" w:cs="宋体"/>
                      <w:sz w:val="24"/>
                    </w:rPr>
                    <w:t>1×DN80</w:t>
                  </w:r>
                </w:p>
              </w:tc>
              <w:tc>
                <w:tcPr>
                  <w:tcW w:w="2220" w:type="dxa"/>
                  <w:noWrap w:val="0"/>
                  <w:vAlign w:val="top"/>
                </w:tcPr>
                <w:p>
                  <w:pPr>
                    <w:rPr>
                      <w:rFonts w:hint="eastAsia" w:ascii="宋体" w:hAnsi="宋体" w:cs="宋体"/>
                      <w:sz w:val="24"/>
                    </w:rPr>
                  </w:pPr>
                  <w:r>
                    <w:rPr>
                      <w:rFonts w:hint="eastAsia" w:ascii="宋体" w:hAnsi="宋体" w:cs="宋体"/>
                      <w:sz w:val="24"/>
                    </w:rPr>
                    <w:t>气动蝶阀</w:t>
                  </w:r>
                </w:p>
              </w:tc>
              <w:tc>
                <w:tcPr>
                  <w:tcW w:w="2235" w:type="dxa"/>
                  <w:noWrap w:val="0"/>
                  <w:vAlign w:val="top"/>
                </w:tcPr>
                <w:p>
                  <w:pPr>
                    <w:rPr>
                      <w:rFonts w:hint="eastAsia" w:ascii="宋体" w:hAnsi="宋体" w:cs="宋体"/>
                      <w:sz w:val="24"/>
                    </w:rPr>
                  </w:pPr>
                  <w:r>
                    <w:rPr>
                      <w:rFonts w:hint="eastAsia" w:ascii="宋体" w:hAnsi="宋体" w:cs="宋体"/>
                      <w:sz w:val="24"/>
                    </w:rPr>
                    <w:t>车体前部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noWrap w:val="0"/>
                  <w:vAlign w:val="top"/>
                </w:tcPr>
                <w:p>
                  <w:pPr>
                    <w:rPr>
                      <w:rFonts w:hint="eastAsia" w:ascii="宋体" w:hAnsi="宋体" w:cs="宋体"/>
                      <w:sz w:val="24"/>
                    </w:rPr>
                  </w:pPr>
                  <w:r>
                    <w:rPr>
                      <w:rFonts w:hint="eastAsia" w:ascii="宋体" w:hAnsi="宋体" w:cs="宋体"/>
                      <w:sz w:val="24"/>
                    </w:rPr>
                    <w:t>7</w:t>
                  </w:r>
                </w:p>
              </w:tc>
              <w:tc>
                <w:tcPr>
                  <w:tcW w:w="1790" w:type="dxa"/>
                  <w:noWrap w:val="0"/>
                  <w:vAlign w:val="top"/>
                </w:tcPr>
                <w:p>
                  <w:pPr>
                    <w:rPr>
                      <w:rFonts w:hint="eastAsia" w:ascii="宋体" w:hAnsi="宋体" w:cs="宋体"/>
                      <w:sz w:val="24"/>
                    </w:rPr>
                  </w:pPr>
                  <w:r>
                    <w:rPr>
                      <w:rFonts w:hint="eastAsia" w:ascii="宋体" w:hAnsi="宋体" w:cs="宋体"/>
                      <w:sz w:val="24"/>
                    </w:rPr>
                    <w:t>水罐外注水接口</w:t>
                  </w:r>
                </w:p>
              </w:tc>
              <w:tc>
                <w:tcPr>
                  <w:tcW w:w="1435" w:type="dxa"/>
                  <w:noWrap w:val="0"/>
                  <w:vAlign w:val="top"/>
                </w:tcPr>
                <w:p>
                  <w:pPr>
                    <w:rPr>
                      <w:rFonts w:hint="eastAsia" w:ascii="宋体" w:hAnsi="宋体" w:cs="宋体"/>
                      <w:sz w:val="24"/>
                    </w:rPr>
                  </w:pPr>
                  <w:r>
                    <w:rPr>
                      <w:rFonts w:hint="eastAsia" w:ascii="宋体" w:hAnsi="宋体" w:cs="宋体"/>
                      <w:sz w:val="24"/>
                    </w:rPr>
                    <w:t>4×DN80</w:t>
                  </w:r>
                </w:p>
              </w:tc>
              <w:tc>
                <w:tcPr>
                  <w:tcW w:w="2220" w:type="dxa"/>
                  <w:noWrap w:val="0"/>
                  <w:vAlign w:val="top"/>
                </w:tcPr>
                <w:p>
                  <w:pPr>
                    <w:rPr>
                      <w:rFonts w:hint="eastAsia" w:ascii="宋体" w:hAnsi="宋体" w:cs="宋体"/>
                      <w:sz w:val="24"/>
                    </w:rPr>
                  </w:pPr>
                  <w:r>
                    <w:rPr>
                      <w:rFonts w:hint="eastAsia" w:ascii="宋体" w:hAnsi="宋体" w:cs="宋体"/>
                      <w:sz w:val="24"/>
                    </w:rPr>
                    <w:t>接口配闷盖</w:t>
                  </w:r>
                </w:p>
              </w:tc>
              <w:tc>
                <w:tcPr>
                  <w:tcW w:w="2235" w:type="dxa"/>
                  <w:noWrap w:val="0"/>
                  <w:vAlign w:val="top"/>
                </w:tcPr>
                <w:p>
                  <w:pPr>
                    <w:rPr>
                      <w:rFonts w:hint="eastAsia" w:ascii="宋体" w:hAnsi="宋体" w:cs="宋体"/>
                      <w:sz w:val="24"/>
                    </w:rPr>
                  </w:pPr>
                  <w:r>
                    <w:rPr>
                      <w:rFonts w:hint="eastAsia" w:ascii="宋体" w:hAnsi="宋体" w:cs="宋体"/>
                      <w:sz w:val="24"/>
                    </w:rPr>
                    <w:t>车体左右两侧各2个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noWrap w:val="0"/>
                  <w:vAlign w:val="top"/>
                </w:tcPr>
                <w:p>
                  <w:pPr>
                    <w:rPr>
                      <w:rFonts w:hint="eastAsia" w:ascii="宋体" w:hAnsi="宋体" w:cs="宋体"/>
                      <w:sz w:val="24"/>
                    </w:rPr>
                  </w:pPr>
                  <w:r>
                    <w:rPr>
                      <w:rFonts w:hint="eastAsia" w:ascii="宋体" w:hAnsi="宋体" w:cs="宋体"/>
                      <w:sz w:val="24"/>
                    </w:rPr>
                    <w:t>8</w:t>
                  </w:r>
                </w:p>
              </w:tc>
              <w:tc>
                <w:tcPr>
                  <w:tcW w:w="1790" w:type="dxa"/>
                  <w:noWrap w:val="0"/>
                  <w:vAlign w:val="top"/>
                </w:tcPr>
                <w:p>
                  <w:pPr>
                    <w:rPr>
                      <w:rFonts w:hint="eastAsia" w:ascii="宋体" w:hAnsi="宋体" w:cs="宋体"/>
                      <w:sz w:val="24"/>
                    </w:rPr>
                  </w:pPr>
                  <w:r>
                    <w:rPr>
                      <w:rFonts w:hint="eastAsia" w:ascii="宋体" w:hAnsi="宋体" w:cs="宋体"/>
                      <w:sz w:val="24"/>
                    </w:rPr>
                    <w:t>泡沫罐外注泡沫/排污接口</w:t>
                  </w:r>
                </w:p>
              </w:tc>
              <w:tc>
                <w:tcPr>
                  <w:tcW w:w="1435" w:type="dxa"/>
                  <w:noWrap w:val="0"/>
                  <w:vAlign w:val="top"/>
                </w:tcPr>
                <w:p>
                  <w:pPr>
                    <w:rPr>
                      <w:rFonts w:hint="eastAsia" w:ascii="宋体" w:hAnsi="宋体" w:cs="宋体"/>
                      <w:sz w:val="24"/>
                    </w:rPr>
                  </w:pPr>
                  <w:r>
                    <w:rPr>
                      <w:rFonts w:hint="eastAsia" w:ascii="宋体" w:hAnsi="宋体" w:cs="宋体"/>
                      <w:sz w:val="24"/>
                    </w:rPr>
                    <w:t>1×DN50</w:t>
                  </w:r>
                </w:p>
              </w:tc>
              <w:tc>
                <w:tcPr>
                  <w:tcW w:w="2220" w:type="dxa"/>
                  <w:noWrap w:val="0"/>
                  <w:vAlign w:val="top"/>
                </w:tcPr>
                <w:p>
                  <w:pPr>
                    <w:rPr>
                      <w:rFonts w:hint="eastAsia" w:ascii="宋体" w:hAnsi="宋体" w:cs="宋体"/>
                      <w:sz w:val="24"/>
                    </w:rPr>
                  </w:pPr>
                  <w:r>
                    <w:rPr>
                      <w:rFonts w:hint="eastAsia" w:ascii="宋体" w:hAnsi="宋体" w:cs="宋体"/>
                      <w:sz w:val="24"/>
                    </w:rPr>
                    <w:t>手动球阀带接口</w:t>
                  </w:r>
                </w:p>
              </w:tc>
              <w:tc>
                <w:tcPr>
                  <w:tcW w:w="2235" w:type="dxa"/>
                  <w:noWrap w:val="0"/>
                  <w:vAlign w:val="top"/>
                </w:tcPr>
                <w:p>
                  <w:pPr>
                    <w:rPr>
                      <w:rFonts w:hint="eastAsia" w:ascii="宋体" w:hAnsi="宋体" w:cs="宋体"/>
                      <w:sz w:val="24"/>
                    </w:rPr>
                  </w:pPr>
                  <w:r>
                    <w:rPr>
                      <w:rFonts w:hint="eastAsia" w:ascii="宋体" w:hAnsi="宋体" w:cs="宋体"/>
                      <w:sz w:val="24"/>
                    </w:rPr>
                    <w:t>车体右侧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80" w:type="dxa"/>
                  <w:noWrap w:val="0"/>
                  <w:vAlign w:val="top"/>
                </w:tcPr>
                <w:p>
                  <w:pPr>
                    <w:rPr>
                      <w:rFonts w:hint="eastAsia" w:ascii="宋体" w:hAnsi="宋体" w:cs="宋体"/>
                      <w:sz w:val="24"/>
                    </w:rPr>
                  </w:pPr>
                  <w:r>
                    <w:rPr>
                      <w:rFonts w:hint="eastAsia" w:ascii="宋体" w:hAnsi="宋体" w:cs="宋体"/>
                      <w:sz w:val="24"/>
                    </w:rPr>
                    <w:t>9</w:t>
                  </w:r>
                </w:p>
              </w:tc>
              <w:tc>
                <w:tcPr>
                  <w:tcW w:w="1790" w:type="dxa"/>
                  <w:noWrap w:val="0"/>
                  <w:vAlign w:val="top"/>
                </w:tcPr>
                <w:p>
                  <w:pPr>
                    <w:rPr>
                      <w:rFonts w:hint="eastAsia" w:ascii="宋体" w:hAnsi="宋体" w:cs="宋体"/>
                      <w:sz w:val="24"/>
                    </w:rPr>
                  </w:pPr>
                  <w:r>
                    <w:rPr>
                      <w:rFonts w:hint="eastAsia" w:ascii="宋体" w:hAnsi="宋体" w:cs="宋体"/>
                      <w:sz w:val="24"/>
                    </w:rPr>
                    <w:t>水罐排污口</w:t>
                  </w:r>
                </w:p>
              </w:tc>
              <w:tc>
                <w:tcPr>
                  <w:tcW w:w="1435" w:type="dxa"/>
                  <w:noWrap w:val="0"/>
                  <w:vAlign w:val="top"/>
                </w:tcPr>
                <w:p>
                  <w:pPr>
                    <w:rPr>
                      <w:rFonts w:hint="eastAsia" w:ascii="宋体" w:hAnsi="宋体" w:cs="宋体"/>
                      <w:sz w:val="24"/>
                    </w:rPr>
                  </w:pPr>
                  <w:r>
                    <w:rPr>
                      <w:rFonts w:hint="eastAsia" w:ascii="宋体" w:hAnsi="宋体" w:cs="宋体"/>
                      <w:sz w:val="24"/>
                    </w:rPr>
                    <w:t>1×DN40</w:t>
                  </w:r>
                </w:p>
              </w:tc>
              <w:tc>
                <w:tcPr>
                  <w:tcW w:w="2220" w:type="dxa"/>
                  <w:noWrap w:val="0"/>
                  <w:vAlign w:val="top"/>
                </w:tcPr>
                <w:p>
                  <w:pPr>
                    <w:rPr>
                      <w:rFonts w:hint="eastAsia" w:ascii="宋体" w:hAnsi="宋体" w:cs="宋体"/>
                      <w:sz w:val="24"/>
                    </w:rPr>
                  </w:pPr>
                  <w:r>
                    <w:rPr>
                      <w:rFonts w:hint="eastAsia" w:ascii="宋体" w:hAnsi="宋体" w:cs="宋体"/>
                      <w:sz w:val="24"/>
                    </w:rPr>
                    <w:t>手动球阀</w:t>
                  </w:r>
                </w:p>
              </w:tc>
              <w:tc>
                <w:tcPr>
                  <w:tcW w:w="2235" w:type="dxa"/>
                  <w:noWrap w:val="0"/>
                  <w:vAlign w:val="top"/>
                </w:tcPr>
                <w:p>
                  <w:pPr>
                    <w:rPr>
                      <w:rFonts w:hint="eastAsia" w:ascii="宋体" w:hAnsi="宋体" w:cs="宋体"/>
                      <w:sz w:val="24"/>
                    </w:rPr>
                  </w:pPr>
                  <w:r>
                    <w:rPr>
                      <w:rFonts w:hint="eastAsia" w:ascii="宋体" w:hAnsi="宋体" w:cs="宋体"/>
                      <w:sz w:val="24"/>
                    </w:rPr>
                    <w:t>车体右侧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noWrap w:val="0"/>
                  <w:vAlign w:val="top"/>
                </w:tcPr>
                <w:p>
                  <w:pPr>
                    <w:rPr>
                      <w:rFonts w:hint="eastAsia" w:ascii="宋体" w:hAnsi="宋体" w:cs="宋体"/>
                      <w:sz w:val="24"/>
                    </w:rPr>
                  </w:pPr>
                  <w:r>
                    <w:rPr>
                      <w:rFonts w:hint="eastAsia" w:ascii="宋体" w:hAnsi="宋体" w:cs="宋体"/>
                      <w:sz w:val="24"/>
                    </w:rPr>
                    <w:t>10</w:t>
                  </w:r>
                </w:p>
              </w:tc>
              <w:tc>
                <w:tcPr>
                  <w:tcW w:w="1790" w:type="dxa"/>
                  <w:noWrap w:val="0"/>
                  <w:vAlign w:val="top"/>
                </w:tcPr>
                <w:p>
                  <w:pPr>
                    <w:rPr>
                      <w:rFonts w:hint="eastAsia" w:ascii="宋体" w:hAnsi="宋体" w:cs="宋体"/>
                      <w:sz w:val="24"/>
                    </w:rPr>
                  </w:pPr>
                  <w:r>
                    <w:rPr>
                      <w:rFonts w:hint="eastAsia" w:ascii="宋体" w:hAnsi="宋体" w:cs="宋体"/>
                      <w:sz w:val="24"/>
                    </w:rPr>
                    <w:t>泡沫系统外吸泡沫接口</w:t>
                  </w:r>
                </w:p>
              </w:tc>
              <w:tc>
                <w:tcPr>
                  <w:tcW w:w="1435" w:type="dxa"/>
                  <w:noWrap w:val="0"/>
                  <w:vAlign w:val="top"/>
                </w:tcPr>
                <w:p>
                  <w:pPr>
                    <w:rPr>
                      <w:rFonts w:hint="eastAsia" w:ascii="宋体" w:hAnsi="宋体" w:cs="宋体"/>
                      <w:sz w:val="24"/>
                    </w:rPr>
                  </w:pPr>
                  <w:r>
                    <w:rPr>
                      <w:rFonts w:hint="eastAsia" w:ascii="宋体" w:hAnsi="宋体" w:cs="宋体"/>
                      <w:sz w:val="24"/>
                    </w:rPr>
                    <w:t>1×DN50</w:t>
                  </w:r>
                </w:p>
              </w:tc>
              <w:tc>
                <w:tcPr>
                  <w:tcW w:w="2220" w:type="dxa"/>
                  <w:noWrap w:val="0"/>
                  <w:vAlign w:val="top"/>
                </w:tcPr>
                <w:p>
                  <w:pPr>
                    <w:rPr>
                      <w:rFonts w:hint="eastAsia" w:ascii="宋体" w:hAnsi="宋体" w:cs="宋体"/>
                      <w:sz w:val="24"/>
                    </w:rPr>
                  </w:pPr>
                  <w:r>
                    <w:rPr>
                      <w:rFonts w:hint="eastAsia" w:ascii="宋体" w:hAnsi="宋体" w:cs="宋体"/>
                      <w:sz w:val="24"/>
                    </w:rPr>
                    <w:t>气动球阀带接口</w:t>
                  </w:r>
                </w:p>
              </w:tc>
              <w:tc>
                <w:tcPr>
                  <w:tcW w:w="2235" w:type="dxa"/>
                  <w:noWrap w:val="0"/>
                  <w:vAlign w:val="top"/>
                </w:tcPr>
                <w:p>
                  <w:pPr>
                    <w:rPr>
                      <w:rFonts w:hint="eastAsia" w:ascii="宋体" w:hAnsi="宋体" w:cs="宋体"/>
                      <w:sz w:val="24"/>
                    </w:rPr>
                  </w:pPr>
                  <w:r>
                    <w:rPr>
                      <w:rFonts w:hint="eastAsia" w:ascii="宋体" w:hAnsi="宋体" w:cs="宋体"/>
                      <w:sz w:val="24"/>
                    </w:rPr>
                    <w:t>车体左侧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0" w:type="dxa"/>
                  <w:noWrap w:val="0"/>
                  <w:vAlign w:val="top"/>
                </w:tcPr>
                <w:p>
                  <w:pPr>
                    <w:rPr>
                      <w:rFonts w:hint="eastAsia" w:ascii="宋体" w:hAnsi="宋体" w:cs="宋体"/>
                      <w:sz w:val="24"/>
                    </w:rPr>
                  </w:pPr>
                  <w:r>
                    <w:rPr>
                      <w:rFonts w:hint="eastAsia" w:ascii="宋体" w:hAnsi="宋体" w:cs="宋体"/>
                      <w:sz w:val="24"/>
                    </w:rPr>
                    <w:t>11</w:t>
                  </w:r>
                </w:p>
              </w:tc>
              <w:tc>
                <w:tcPr>
                  <w:tcW w:w="1790" w:type="dxa"/>
                  <w:noWrap w:val="0"/>
                  <w:vAlign w:val="top"/>
                </w:tcPr>
                <w:p>
                  <w:pPr>
                    <w:rPr>
                      <w:rFonts w:hint="eastAsia" w:ascii="宋体" w:hAnsi="宋体" w:cs="宋体"/>
                      <w:sz w:val="24"/>
                    </w:rPr>
                  </w:pPr>
                  <w:r>
                    <w:rPr>
                      <w:rFonts w:hint="eastAsia" w:ascii="宋体" w:hAnsi="宋体" w:cs="宋体"/>
                      <w:sz w:val="24"/>
                    </w:rPr>
                    <w:t>泡沫系统罐吸泡沫口</w:t>
                  </w:r>
                </w:p>
              </w:tc>
              <w:tc>
                <w:tcPr>
                  <w:tcW w:w="1435" w:type="dxa"/>
                  <w:noWrap w:val="0"/>
                  <w:vAlign w:val="top"/>
                </w:tcPr>
                <w:p>
                  <w:pPr>
                    <w:rPr>
                      <w:rFonts w:hint="eastAsia" w:ascii="宋体" w:hAnsi="宋体" w:cs="宋体"/>
                      <w:sz w:val="24"/>
                    </w:rPr>
                  </w:pPr>
                  <w:r>
                    <w:rPr>
                      <w:rFonts w:hint="eastAsia" w:ascii="宋体" w:hAnsi="宋体" w:cs="宋体"/>
                      <w:sz w:val="24"/>
                    </w:rPr>
                    <w:t>1×DN50</w:t>
                  </w:r>
                </w:p>
              </w:tc>
              <w:tc>
                <w:tcPr>
                  <w:tcW w:w="2220" w:type="dxa"/>
                  <w:noWrap w:val="0"/>
                  <w:vAlign w:val="top"/>
                </w:tcPr>
                <w:p>
                  <w:pPr>
                    <w:rPr>
                      <w:rFonts w:hint="eastAsia" w:ascii="宋体" w:hAnsi="宋体" w:cs="宋体"/>
                      <w:sz w:val="24"/>
                    </w:rPr>
                  </w:pPr>
                  <w:r>
                    <w:rPr>
                      <w:rFonts w:hint="eastAsia" w:ascii="宋体" w:hAnsi="宋体" w:cs="宋体"/>
                      <w:sz w:val="24"/>
                    </w:rPr>
                    <w:t>气动球阀</w:t>
                  </w:r>
                </w:p>
              </w:tc>
              <w:tc>
                <w:tcPr>
                  <w:tcW w:w="2235" w:type="dxa"/>
                  <w:noWrap w:val="0"/>
                  <w:vAlign w:val="top"/>
                </w:tcPr>
                <w:p>
                  <w:pPr>
                    <w:rPr>
                      <w:rFonts w:hint="eastAsia" w:ascii="宋体" w:hAnsi="宋体" w:cs="宋体"/>
                      <w:sz w:val="24"/>
                    </w:rPr>
                  </w:pPr>
                  <w:r>
                    <w:rPr>
                      <w:rFonts w:hint="eastAsia" w:ascii="宋体" w:hAnsi="宋体" w:cs="宋体"/>
                      <w:sz w:val="24"/>
                    </w:rPr>
                    <w:t>车体右侧</w:t>
                  </w:r>
                </w:p>
              </w:tc>
            </w:tr>
          </w:tbl>
          <w:p>
            <w:pPr>
              <w:rPr>
                <w:rFonts w:hint="eastAsia" w:ascii="宋体" w:hAnsi="宋体" w:cs="宋体"/>
                <w:sz w:val="24"/>
              </w:rPr>
            </w:pPr>
            <w:r>
              <w:rPr>
                <w:rFonts w:hint="eastAsia" w:ascii="宋体" w:hAnsi="宋体" w:cs="宋体"/>
                <w:sz w:val="24"/>
              </w:rPr>
              <w:t>八、电气控制系统</w:t>
            </w:r>
          </w:p>
          <w:p>
            <w:pPr>
              <w:rPr>
                <w:rFonts w:hint="eastAsia" w:ascii="宋体" w:hAnsi="宋体" w:cs="宋体"/>
                <w:sz w:val="24"/>
              </w:rPr>
            </w:pPr>
            <w:r>
              <w:rPr>
                <w:rFonts w:hint="eastAsia" w:ascii="宋体" w:hAnsi="宋体" w:cs="宋体"/>
                <w:sz w:val="24"/>
              </w:rPr>
              <w:t>33、操纵台：上车操纵台位置：转台左侧（带座椅）和工作平台。两操纵台间设有线通话装置。</w:t>
            </w:r>
          </w:p>
          <w:p>
            <w:pPr>
              <w:rPr>
                <w:rFonts w:hint="eastAsia" w:ascii="宋体" w:hAnsi="宋体" w:cs="宋体"/>
                <w:sz w:val="24"/>
              </w:rPr>
            </w:pPr>
            <w:r>
              <w:rPr>
                <w:rFonts w:hint="eastAsia" w:ascii="宋体" w:hAnsi="宋体" w:cs="宋体"/>
                <w:sz w:val="24"/>
              </w:rPr>
              <w:t>34、整车控制类型：控制器控制。</w:t>
            </w:r>
          </w:p>
          <w:p>
            <w:pPr>
              <w:rPr>
                <w:rFonts w:hint="eastAsia" w:ascii="宋体" w:hAnsi="宋体" w:cs="宋体"/>
                <w:sz w:val="24"/>
              </w:rPr>
            </w:pPr>
            <w:r>
              <w:rPr>
                <w:rFonts w:hint="eastAsia" w:ascii="宋体" w:hAnsi="宋体" w:cs="宋体"/>
                <w:sz w:val="24"/>
              </w:rPr>
              <w:t>35、人机交互系统：采用10寸彩色液晶显示屏，可显示臂架变幅角度、伸缩等作业信息，车辆的工作高度、工作幅度、支腿状态等车辆工作姿态信息，并可通过显示屏查询故障。</w:t>
            </w:r>
          </w:p>
          <w:p>
            <w:pPr>
              <w:rPr>
                <w:rFonts w:hint="eastAsia" w:ascii="宋体" w:hAnsi="宋体" w:cs="宋体"/>
                <w:sz w:val="24"/>
              </w:rPr>
            </w:pPr>
            <w:r>
              <w:rPr>
                <w:rFonts w:hint="eastAsia" w:ascii="宋体" w:hAnsi="宋体" w:cs="宋体"/>
                <w:sz w:val="24"/>
              </w:rPr>
              <w:t>36、警报灯具：驾驶室顶部安装2个红色LED频闪圆警灯；驾驶室内安装警报器，功率≥100W；车尾左右各设一个红色频闪警灯。</w:t>
            </w:r>
          </w:p>
          <w:p>
            <w:pPr>
              <w:rPr>
                <w:rFonts w:hint="eastAsia" w:ascii="宋体" w:hAnsi="宋体" w:cs="宋体"/>
                <w:sz w:val="24"/>
              </w:rPr>
            </w:pPr>
            <w:r>
              <w:rPr>
                <w:rFonts w:hint="eastAsia" w:ascii="宋体" w:hAnsi="宋体" w:cs="宋体"/>
                <w:sz w:val="24"/>
              </w:rPr>
              <w:t>37、照明：臂架支架照明；梯架照明；工作平台作业照明</w:t>
            </w:r>
          </w:p>
          <w:p>
            <w:pPr>
              <w:rPr>
                <w:rFonts w:hint="eastAsia" w:ascii="宋体" w:hAnsi="宋体" w:cs="宋体"/>
                <w:sz w:val="24"/>
              </w:rPr>
            </w:pPr>
            <w:r>
              <w:rPr>
                <w:rFonts w:hint="eastAsia" w:ascii="宋体" w:hAnsi="宋体" w:cs="宋体"/>
                <w:sz w:val="24"/>
              </w:rPr>
              <w:t>38、影像系统：火场视频监控设备（带存储功能）；360°行车监控系统（导航、行车记录、360°影像、倒车雷达一体）。</w:t>
            </w:r>
          </w:p>
          <w:p>
            <w:pPr>
              <w:rPr>
                <w:rFonts w:hint="eastAsia" w:ascii="宋体" w:hAnsi="宋体" w:cs="宋体"/>
                <w:sz w:val="24"/>
              </w:rPr>
            </w:pPr>
            <w:r>
              <w:rPr>
                <w:rFonts w:hint="eastAsia" w:ascii="宋体" w:hAnsi="宋体" w:cs="宋体"/>
                <w:sz w:val="24"/>
              </w:rPr>
              <w:t>九、工作平台</w:t>
            </w:r>
          </w:p>
          <w:p>
            <w:pPr>
              <w:rPr>
                <w:rFonts w:hint="eastAsia" w:ascii="宋体" w:hAnsi="宋体" w:cs="宋体"/>
                <w:sz w:val="24"/>
              </w:rPr>
            </w:pPr>
            <w:r>
              <w:rPr>
                <w:rFonts w:hint="eastAsia" w:ascii="宋体" w:hAnsi="宋体" w:cs="宋体"/>
                <w:sz w:val="24"/>
              </w:rPr>
              <w:t>39、尺寸：≥2100mm×900mm×1200mm。</w:t>
            </w:r>
          </w:p>
          <w:p>
            <w:pPr>
              <w:rPr>
                <w:rFonts w:hint="eastAsia" w:ascii="宋体" w:hAnsi="宋体" w:cs="宋体"/>
                <w:sz w:val="24"/>
              </w:rPr>
            </w:pPr>
            <w:r>
              <w:rPr>
                <w:rFonts w:hint="eastAsia" w:ascii="宋体" w:hAnsi="宋体" w:cs="宋体"/>
                <w:sz w:val="24"/>
              </w:rPr>
              <w:t>40、工作平台：型材框架结构，高强度无缝型材焊接而成，开口尺寸≤500mm；底板采用防滑花纹板；设置前翻转踏板，便于人员进出工作平台实施救援作业；工作时水平方向可摆动左45°～右20°。</w:t>
            </w:r>
          </w:p>
          <w:p>
            <w:pPr>
              <w:rPr>
                <w:rFonts w:hint="eastAsia" w:ascii="宋体" w:hAnsi="宋体" w:cs="宋体"/>
                <w:sz w:val="24"/>
              </w:rPr>
            </w:pPr>
            <w:r>
              <w:rPr>
                <w:rFonts w:hint="eastAsia" w:ascii="宋体" w:hAnsi="宋体" w:cs="宋体"/>
                <w:sz w:val="24"/>
              </w:rPr>
              <w:t>41、装置设置：工作平台安装风速仪；工作平台称重超载报警；平台前方、下方、左方和右方超声波防碰装置。</w:t>
            </w:r>
          </w:p>
          <w:p>
            <w:pPr>
              <w:rPr>
                <w:rFonts w:hint="eastAsia" w:ascii="宋体" w:hAnsi="宋体" w:cs="宋体"/>
                <w:sz w:val="24"/>
              </w:rPr>
            </w:pPr>
            <w:r>
              <w:rPr>
                <w:rFonts w:hint="eastAsia" w:ascii="宋体" w:hAnsi="宋体" w:cs="宋体"/>
                <w:sz w:val="24"/>
              </w:rPr>
              <w:t>42、自保系统：设有工作斗喷淋自保，工作平台内控制，手动阀门。</w:t>
            </w:r>
          </w:p>
          <w:p>
            <w:pPr>
              <w:rPr>
                <w:rFonts w:hint="eastAsia" w:ascii="宋体" w:hAnsi="宋体" w:cs="宋体"/>
                <w:sz w:val="24"/>
              </w:rPr>
            </w:pPr>
            <w:r>
              <w:rPr>
                <w:rFonts w:hint="eastAsia" w:ascii="宋体" w:hAnsi="宋体" w:cs="宋体"/>
                <w:sz w:val="24"/>
              </w:rPr>
              <w:t>十、车身及围板</w:t>
            </w:r>
          </w:p>
          <w:p>
            <w:pPr>
              <w:rPr>
                <w:rFonts w:hint="eastAsia" w:ascii="宋体" w:hAnsi="宋体" w:cs="宋体"/>
                <w:sz w:val="24"/>
              </w:rPr>
            </w:pPr>
            <w:r>
              <w:rPr>
                <w:rFonts w:hint="eastAsia" w:ascii="宋体" w:hAnsi="宋体" w:cs="宋体"/>
                <w:sz w:val="24"/>
              </w:rPr>
              <w:t xml:space="preserve">43、上下车梯：车体左、右侧各1件。车身围板：粘贴铝合金平板。后尾控制箱：玻璃钢整体压制成型。车身骨架：优质铝合金框架。车身上走台板：铺设防滑铝合金板。器材箱/工具箱：铝型材框架，带锁，铝合金卷帘门。 </w:t>
            </w:r>
          </w:p>
          <w:p>
            <w:pPr>
              <w:rPr>
                <w:rFonts w:hint="eastAsia" w:ascii="宋体" w:hAnsi="宋体" w:cs="宋体"/>
                <w:sz w:val="24"/>
              </w:rPr>
            </w:pPr>
            <w:r>
              <w:rPr>
                <w:rFonts w:hint="eastAsia" w:ascii="宋体" w:hAnsi="宋体" w:cs="宋体"/>
                <w:sz w:val="24"/>
              </w:rPr>
              <w:t>44、车身颜色：上装整体为乳白色；驾驶室、罐体、围板外表面为消防红。</w:t>
            </w:r>
          </w:p>
          <w:p>
            <w:pPr>
              <w:rPr>
                <w:rFonts w:hint="eastAsia" w:ascii="宋体" w:hAnsi="宋体" w:cs="宋体"/>
                <w:sz w:val="24"/>
              </w:rPr>
            </w:pPr>
            <w:r>
              <w:rPr>
                <w:rFonts w:hint="eastAsia" w:ascii="宋体" w:hAnsi="宋体" w:cs="宋体"/>
                <w:sz w:val="24"/>
              </w:rPr>
              <w:t>十一、支腿</w:t>
            </w:r>
          </w:p>
          <w:p>
            <w:pPr>
              <w:rPr>
                <w:rFonts w:hint="eastAsia" w:ascii="宋体" w:hAnsi="宋体" w:cs="宋体"/>
                <w:sz w:val="24"/>
              </w:rPr>
            </w:pPr>
            <w:r>
              <w:rPr>
                <w:rFonts w:hint="eastAsia" w:ascii="宋体" w:hAnsi="宋体" w:cs="宋体"/>
                <w:sz w:val="24"/>
              </w:rPr>
              <w:t>45、支腿结构形式：采用“H”形箱型支腿。</w:t>
            </w:r>
          </w:p>
          <w:p>
            <w:pPr>
              <w:rPr>
                <w:rFonts w:hint="eastAsia" w:ascii="宋体" w:hAnsi="宋体" w:cs="宋体"/>
                <w:sz w:val="24"/>
              </w:rPr>
            </w:pPr>
            <w:r>
              <w:rPr>
                <w:rFonts w:hint="eastAsia" w:ascii="宋体" w:hAnsi="宋体" w:cs="宋体"/>
                <w:sz w:val="24"/>
              </w:rPr>
              <w:t>46、支腿调平：自动调平+半自动调平+手动调平。</w:t>
            </w:r>
          </w:p>
          <w:p>
            <w:pPr>
              <w:rPr>
                <w:rFonts w:hint="eastAsia" w:ascii="宋体" w:hAnsi="宋体" w:cs="宋体"/>
                <w:sz w:val="24"/>
              </w:rPr>
            </w:pPr>
            <w:r>
              <w:rPr>
                <w:rFonts w:hint="eastAsia" w:ascii="宋体" w:hAnsi="宋体" w:cs="宋体"/>
                <w:sz w:val="24"/>
              </w:rPr>
              <w:t>十二、臂架系统</w:t>
            </w:r>
          </w:p>
          <w:p>
            <w:pPr>
              <w:rPr>
                <w:rFonts w:hint="eastAsia" w:ascii="宋体" w:hAnsi="宋体" w:cs="宋体"/>
                <w:sz w:val="24"/>
              </w:rPr>
            </w:pPr>
            <w:r>
              <w:rPr>
                <w:rFonts w:hint="eastAsia" w:ascii="宋体" w:hAnsi="宋体" w:cs="宋体"/>
                <w:sz w:val="24"/>
              </w:rPr>
              <w:t>▲47、臂架系统采取一号臂（5节）+二号臂（2节）+1节飞臂的臂架组合方式。</w:t>
            </w:r>
          </w:p>
          <w:p>
            <w:pPr>
              <w:rPr>
                <w:rFonts w:hint="eastAsia" w:ascii="宋体" w:hAnsi="宋体" w:cs="宋体"/>
                <w:sz w:val="24"/>
              </w:rPr>
            </w:pPr>
            <w:r>
              <w:rPr>
                <w:rFonts w:hint="eastAsia" w:ascii="宋体" w:hAnsi="宋体" w:cs="宋体"/>
                <w:sz w:val="24"/>
              </w:rPr>
              <w:t>48、一号臂臂架截面形状除一节臂采用八边形外，其余都为异型截面，臂架的抗扭能力强，臂架安全储备系数大，1.5倍额定载荷时不发生永久变形。采用双作用油缸加钢丝绳的同步伸缩机构，臂架伸缩平稳或其他臂架结构形式。</w:t>
            </w:r>
          </w:p>
          <w:p>
            <w:pPr>
              <w:rPr>
                <w:rFonts w:hint="eastAsia" w:ascii="宋体" w:hAnsi="宋体" w:cs="宋体"/>
                <w:sz w:val="24"/>
              </w:rPr>
            </w:pPr>
            <w:r>
              <w:rPr>
                <w:rFonts w:hint="eastAsia" w:ascii="宋体" w:hAnsi="宋体" w:cs="宋体"/>
                <w:sz w:val="24"/>
              </w:rPr>
              <w:t>49、二号臂的一节臂截面形状采用异型截面，二节臂采用四边形截面，臂架刚度好，变形小。二号臂通过双作用油缸及四连杆机构实现变幅。飞臂截面形状为四边形截面，通过双作用油缸实现变幅</w:t>
            </w:r>
            <w:r>
              <w:rPr>
                <w:rFonts w:hint="eastAsia" w:eastAsia="方正仿宋_GBK"/>
                <w:kern w:val="0"/>
                <w:sz w:val="24"/>
              </w:rPr>
              <w:t>或其他臂架结构形式</w:t>
            </w:r>
            <w:r>
              <w:rPr>
                <w:rFonts w:hint="eastAsia" w:ascii="宋体" w:hAnsi="宋体" w:cs="宋体"/>
                <w:sz w:val="24"/>
              </w:rPr>
              <w:t>。</w:t>
            </w:r>
          </w:p>
          <w:p>
            <w:pPr>
              <w:rPr>
                <w:rFonts w:hint="eastAsia" w:ascii="宋体" w:hAnsi="宋体" w:cs="宋体"/>
                <w:sz w:val="24"/>
              </w:rPr>
            </w:pPr>
            <w:r>
              <w:rPr>
                <w:rFonts w:hint="eastAsia" w:ascii="宋体" w:hAnsi="宋体" w:cs="宋体"/>
                <w:sz w:val="24"/>
              </w:rPr>
              <w:t>十三、救援性能参数</w:t>
            </w:r>
          </w:p>
          <w:p>
            <w:pPr>
              <w:rPr>
                <w:rFonts w:hint="eastAsia" w:ascii="宋体" w:hAnsi="宋体" w:cs="宋体"/>
                <w:sz w:val="24"/>
              </w:rPr>
            </w:pPr>
            <w:r>
              <w:rPr>
                <w:rFonts w:hint="eastAsia" w:ascii="宋体" w:hAnsi="宋体" w:cs="宋体"/>
                <w:sz w:val="24"/>
              </w:rPr>
              <w:t>50、工作平台载荷：≥450kg；最大工作高度：≥54m；最大工作幅度：≥22m；回转范围：360°全回转；支腿展开时间：≤35s；支腿跨距：纵向跨距×横向跨距≤6800mm×8000mm。</w:t>
            </w:r>
          </w:p>
          <w:p>
            <w:pPr>
              <w:rPr>
                <w:rFonts w:hint="eastAsia" w:ascii="宋体" w:hAnsi="宋体" w:cs="宋体"/>
                <w:sz w:val="24"/>
              </w:rPr>
            </w:pPr>
            <w:r>
              <w:rPr>
                <w:rFonts w:hint="eastAsia" w:ascii="宋体" w:hAnsi="宋体" w:cs="宋体"/>
                <w:sz w:val="24"/>
              </w:rPr>
              <w:t>▲51、臂架升起额定高度并旋转90°时间：≤145s。</w:t>
            </w:r>
          </w:p>
          <w:p>
            <w:pPr>
              <w:rPr>
                <w:rFonts w:hint="eastAsia" w:ascii="宋体" w:hAnsi="宋体" w:cs="宋体"/>
                <w:sz w:val="24"/>
              </w:rPr>
            </w:pPr>
            <w:r>
              <w:rPr>
                <w:rFonts w:hint="eastAsia" w:ascii="宋体" w:hAnsi="宋体" w:cs="宋体"/>
                <w:sz w:val="24"/>
              </w:rPr>
              <w:t>52、臂架回转速度：0.1～1.0r/min。</w:t>
            </w:r>
          </w:p>
          <w:p>
            <w:pPr>
              <w:rPr>
                <w:rFonts w:hint="eastAsia" w:ascii="宋体" w:hAnsi="宋体" w:cs="宋体"/>
                <w:sz w:val="24"/>
              </w:rPr>
            </w:pPr>
            <w:r>
              <w:rPr>
                <w:rFonts w:hint="eastAsia" w:ascii="宋体" w:hAnsi="宋体" w:cs="宋体"/>
                <w:sz w:val="24"/>
              </w:rPr>
              <w:t>十四、随车文件</w:t>
            </w:r>
          </w:p>
          <w:p>
            <w:pPr>
              <w:rPr>
                <w:rFonts w:hint="eastAsia" w:ascii="宋体" w:hAnsi="宋体" w:cs="宋体"/>
                <w:sz w:val="24"/>
              </w:rPr>
            </w:pPr>
            <w:r>
              <w:rPr>
                <w:rFonts w:hint="eastAsia" w:ascii="宋体" w:hAnsi="宋体" w:cs="宋体"/>
                <w:sz w:val="24"/>
              </w:rPr>
              <w:t>53、底盘使用说明书（中文）、底盘操作维修手册（中文）、底盘质量保修卡、底盘合格证、发动机号码拓印件2份、底盘号码拓印件2份。</w:t>
            </w:r>
          </w:p>
          <w:p>
            <w:pPr>
              <w:rPr>
                <w:rFonts w:hint="eastAsia" w:ascii="宋体" w:hAnsi="宋体" w:cs="宋体"/>
                <w:sz w:val="24"/>
              </w:rPr>
            </w:pPr>
            <w:r>
              <w:rPr>
                <w:rFonts w:hint="eastAsia" w:ascii="宋体" w:hAnsi="宋体" w:cs="宋体"/>
                <w:sz w:val="24"/>
              </w:rPr>
              <w:t>54、整车操作使用维护说明书（中文）、整车合格证、工信部整车公告证明、国家消防装备质量监督检验中心报告、随车器材清单、消防车跟踪服务卡、消防车交接清单。</w:t>
            </w:r>
          </w:p>
          <w:p>
            <w:pPr>
              <w:rPr>
                <w:rFonts w:hint="eastAsia" w:ascii="宋体" w:hAnsi="宋体" w:cs="宋体"/>
                <w:sz w:val="24"/>
              </w:rPr>
            </w:pPr>
            <w:r>
              <w:rPr>
                <w:rFonts w:hint="eastAsia" w:ascii="宋体" w:hAnsi="宋体" w:cs="宋体"/>
                <w:sz w:val="24"/>
              </w:rPr>
              <w:t>55、随车器材</w:t>
            </w:r>
          </w:p>
          <w:p>
            <w:pPr>
              <w:rPr>
                <w:rFonts w:hint="eastAsia" w:ascii="宋体" w:hAnsi="宋体" w:cs="宋体"/>
                <w:sz w:val="24"/>
              </w:rPr>
            </w:pPr>
            <w:r>
              <w:rPr>
                <w:rFonts w:hint="eastAsia" w:ascii="宋体" w:hAnsi="宋体" w:cs="宋体"/>
                <w:sz w:val="24"/>
              </w:rPr>
              <w:t xml:space="preserve">（1）  内六角扳手3-17              1套  </w:t>
            </w:r>
          </w:p>
          <w:p>
            <w:pPr>
              <w:rPr>
                <w:rFonts w:hint="eastAsia" w:ascii="宋体" w:hAnsi="宋体" w:cs="宋体"/>
                <w:sz w:val="24"/>
              </w:rPr>
            </w:pPr>
            <w:r>
              <w:rPr>
                <w:rFonts w:hint="eastAsia" w:ascii="宋体" w:hAnsi="宋体" w:cs="宋体"/>
                <w:sz w:val="24"/>
              </w:rPr>
              <w:t xml:space="preserve">（2）  活扳手 6寸                  1件  </w:t>
            </w:r>
          </w:p>
          <w:p>
            <w:pPr>
              <w:rPr>
                <w:rFonts w:hint="eastAsia" w:ascii="宋体" w:hAnsi="宋体" w:cs="宋体"/>
                <w:sz w:val="24"/>
              </w:rPr>
            </w:pPr>
            <w:r>
              <w:rPr>
                <w:rFonts w:hint="eastAsia" w:ascii="宋体" w:hAnsi="宋体" w:cs="宋体"/>
                <w:sz w:val="24"/>
              </w:rPr>
              <w:t xml:space="preserve">（3）  活扳手 12寸                 1件  </w:t>
            </w:r>
          </w:p>
          <w:p>
            <w:pPr>
              <w:rPr>
                <w:rFonts w:hint="eastAsia" w:ascii="宋体" w:hAnsi="宋体" w:cs="宋体"/>
                <w:sz w:val="24"/>
              </w:rPr>
            </w:pPr>
            <w:r>
              <w:rPr>
                <w:rFonts w:hint="eastAsia" w:ascii="宋体" w:hAnsi="宋体" w:cs="宋体"/>
                <w:sz w:val="24"/>
              </w:rPr>
              <w:t xml:space="preserve">（4）  一字螺丝刀150×8           1件  </w:t>
            </w:r>
          </w:p>
          <w:p>
            <w:pPr>
              <w:rPr>
                <w:rFonts w:hint="eastAsia" w:ascii="宋体" w:hAnsi="宋体" w:cs="宋体"/>
                <w:sz w:val="24"/>
              </w:rPr>
            </w:pPr>
            <w:r>
              <w:rPr>
                <w:rFonts w:hint="eastAsia" w:ascii="宋体" w:hAnsi="宋体" w:cs="宋体"/>
                <w:sz w:val="24"/>
              </w:rPr>
              <w:t xml:space="preserve">（5）  十字形螺丝刀 150×8         1件  </w:t>
            </w:r>
          </w:p>
          <w:p>
            <w:pPr>
              <w:rPr>
                <w:rFonts w:hint="eastAsia" w:ascii="宋体" w:hAnsi="宋体" w:cs="宋体"/>
                <w:sz w:val="24"/>
              </w:rPr>
            </w:pPr>
            <w:r>
              <w:rPr>
                <w:rFonts w:hint="eastAsia" w:ascii="宋体" w:hAnsi="宋体" w:cs="宋体"/>
                <w:sz w:val="24"/>
              </w:rPr>
              <w:t xml:space="preserve">（6）  黄油枪                      1件  </w:t>
            </w:r>
          </w:p>
          <w:p>
            <w:pPr>
              <w:rPr>
                <w:rFonts w:hint="eastAsia" w:ascii="宋体" w:hAnsi="宋体" w:cs="宋体"/>
                <w:sz w:val="24"/>
              </w:rPr>
            </w:pPr>
            <w:r>
              <w:rPr>
                <w:rFonts w:hint="eastAsia" w:ascii="宋体" w:hAnsi="宋体" w:cs="宋体"/>
                <w:sz w:val="24"/>
              </w:rPr>
              <w:t xml:space="preserve">（7）  鲤鱼钳 165mm               1件  </w:t>
            </w:r>
          </w:p>
          <w:p>
            <w:pPr>
              <w:rPr>
                <w:rFonts w:hint="eastAsia" w:ascii="宋体" w:hAnsi="宋体" w:cs="宋体"/>
                <w:sz w:val="24"/>
              </w:rPr>
            </w:pPr>
            <w:r>
              <w:rPr>
                <w:rFonts w:hint="eastAsia" w:ascii="宋体" w:hAnsi="宋体" w:cs="宋体"/>
                <w:sz w:val="24"/>
              </w:rPr>
              <w:t xml:space="preserve">（8）  消防安全腰带组件            5根  </w:t>
            </w:r>
          </w:p>
          <w:p>
            <w:pPr>
              <w:rPr>
                <w:rFonts w:hint="eastAsia" w:ascii="宋体" w:hAnsi="宋体" w:cs="宋体"/>
                <w:sz w:val="24"/>
              </w:rPr>
            </w:pPr>
            <w:r>
              <w:rPr>
                <w:rFonts w:hint="eastAsia" w:ascii="宋体" w:hAnsi="宋体" w:cs="宋体"/>
                <w:sz w:val="24"/>
              </w:rPr>
              <w:t xml:space="preserve">（9）  勾头扳手 78-85              1件  </w:t>
            </w:r>
          </w:p>
          <w:p>
            <w:pPr>
              <w:rPr>
                <w:rFonts w:hint="eastAsia" w:ascii="宋体" w:hAnsi="宋体" w:cs="宋体"/>
                <w:sz w:val="24"/>
              </w:rPr>
            </w:pPr>
            <w:r>
              <w:rPr>
                <w:rFonts w:hint="eastAsia" w:ascii="宋体" w:hAnsi="宋体" w:cs="宋体"/>
                <w:sz w:val="24"/>
              </w:rPr>
              <w:t xml:space="preserve">（10）  水带包布                   8件  </w:t>
            </w:r>
          </w:p>
          <w:p>
            <w:pPr>
              <w:rPr>
                <w:rFonts w:hint="eastAsia" w:ascii="宋体" w:hAnsi="宋体" w:cs="宋体"/>
                <w:sz w:val="24"/>
              </w:rPr>
            </w:pPr>
            <w:r>
              <w:rPr>
                <w:rFonts w:hint="eastAsia" w:ascii="宋体" w:hAnsi="宋体" w:cs="宋体"/>
                <w:sz w:val="24"/>
              </w:rPr>
              <w:t xml:space="preserve">（11）  水带护桥                   2件  </w:t>
            </w:r>
          </w:p>
          <w:p>
            <w:pPr>
              <w:rPr>
                <w:rFonts w:hint="eastAsia" w:ascii="宋体" w:hAnsi="宋体" w:cs="宋体"/>
                <w:sz w:val="24"/>
              </w:rPr>
            </w:pPr>
            <w:r>
              <w:rPr>
                <w:rFonts w:hint="eastAsia" w:ascii="宋体" w:hAnsi="宋体" w:cs="宋体"/>
                <w:sz w:val="24"/>
              </w:rPr>
              <w:t xml:space="preserve">（12）  地上消防栓扳手 FS450       1件  </w:t>
            </w:r>
          </w:p>
          <w:p>
            <w:pPr>
              <w:rPr>
                <w:rFonts w:hint="eastAsia" w:ascii="宋体" w:hAnsi="宋体" w:cs="宋体"/>
                <w:sz w:val="24"/>
              </w:rPr>
            </w:pPr>
            <w:r>
              <w:rPr>
                <w:rFonts w:hint="eastAsia" w:ascii="宋体" w:hAnsi="宋体" w:cs="宋体"/>
                <w:sz w:val="24"/>
              </w:rPr>
              <w:t xml:space="preserve">（13）  地下消防栓扳手 FBX800     1件 </w:t>
            </w:r>
          </w:p>
          <w:p>
            <w:pPr>
              <w:rPr>
                <w:rFonts w:hint="eastAsia" w:ascii="宋体" w:hAnsi="宋体" w:cs="宋体"/>
                <w:sz w:val="24"/>
              </w:rPr>
            </w:pPr>
            <w:r>
              <w:rPr>
                <w:rFonts w:hint="eastAsia" w:ascii="宋体" w:hAnsi="宋体" w:cs="宋体"/>
                <w:sz w:val="24"/>
              </w:rPr>
              <w:t xml:space="preserve">（14）  资料配送拉杆包             1件  </w:t>
            </w:r>
          </w:p>
          <w:p>
            <w:pPr>
              <w:rPr>
                <w:rFonts w:hint="eastAsia" w:ascii="宋体" w:hAnsi="宋体" w:cs="宋体"/>
                <w:sz w:val="24"/>
              </w:rPr>
            </w:pPr>
            <w:r>
              <w:rPr>
                <w:rFonts w:hint="eastAsia" w:ascii="宋体" w:hAnsi="宋体" w:cs="宋体"/>
                <w:sz w:val="24"/>
              </w:rPr>
              <w:t xml:space="preserve">（15）  可充电式手提照明灯         2只  </w:t>
            </w:r>
          </w:p>
          <w:p>
            <w:pPr>
              <w:rPr>
                <w:rFonts w:hint="eastAsia" w:ascii="宋体" w:hAnsi="宋体" w:cs="宋体"/>
                <w:sz w:val="24"/>
              </w:rPr>
            </w:pPr>
            <w:r>
              <w:rPr>
                <w:rFonts w:hint="eastAsia" w:ascii="宋体" w:hAnsi="宋体" w:cs="宋体"/>
                <w:sz w:val="24"/>
              </w:rPr>
              <w:t xml:space="preserve">（16）  干粉灭火器                 1 具  </w:t>
            </w:r>
          </w:p>
          <w:p>
            <w:pPr>
              <w:rPr>
                <w:rFonts w:hint="eastAsia" w:ascii="宋体" w:hAnsi="宋体" w:cs="宋体"/>
                <w:sz w:val="24"/>
              </w:rPr>
            </w:pPr>
            <w:r>
              <w:rPr>
                <w:rFonts w:hint="eastAsia" w:ascii="宋体" w:hAnsi="宋体" w:cs="宋体"/>
                <w:sz w:val="24"/>
              </w:rPr>
              <w:t xml:space="preserve">（17）  消防气动阀门手动操作杆     2件  </w:t>
            </w:r>
          </w:p>
          <w:p>
            <w:pPr>
              <w:rPr>
                <w:rFonts w:hint="eastAsia" w:ascii="宋体" w:hAnsi="宋体" w:cs="宋体"/>
                <w:sz w:val="24"/>
              </w:rPr>
            </w:pPr>
            <w:r>
              <w:rPr>
                <w:rFonts w:hint="eastAsia" w:ascii="宋体" w:hAnsi="宋体" w:cs="宋体"/>
                <w:sz w:val="24"/>
              </w:rPr>
              <w:t xml:space="preserve">（18）  JII150/80×2-1.6 二集水器（快插） 2只  </w:t>
            </w:r>
          </w:p>
          <w:p>
            <w:pPr>
              <w:rPr>
                <w:rFonts w:hint="eastAsia" w:ascii="宋体" w:hAnsi="宋体" w:cs="宋体"/>
                <w:sz w:val="24"/>
              </w:rPr>
            </w:pPr>
            <w:r>
              <w:rPr>
                <w:rFonts w:hint="eastAsia" w:ascii="宋体" w:hAnsi="宋体" w:cs="宋体"/>
                <w:sz w:val="24"/>
              </w:rPr>
              <w:t xml:space="preserve">（19）  卡式消防水带 20-80-20       4根  </w:t>
            </w:r>
          </w:p>
          <w:p>
            <w:pPr>
              <w:rPr>
                <w:rFonts w:hint="eastAsia" w:ascii="宋体" w:hAnsi="宋体" w:cs="宋体"/>
                <w:sz w:val="24"/>
              </w:rPr>
            </w:pPr>
            <w:r>
              <w:rPr>
                <w:rFonts w:hint="eastAsia" w:ascii="宋体" w:hAnsi="宋体" w:cs="宋体"/>
                <w:sz w:val="24"/>
              </w:rPr>
              <w:t xml:space="preserve">（20）  卡式异径接口 KJK65雌/80雄  4件  </w:t>
            </w:r>
          </w:p>
          <w:p>
            <w:pPr>
              <w:rPr>
                <w:rFonts w:hint="eastAsia" w:ascii="宋体" w:hAnsi="宋体" w:cs="宋体"/>
                <w:sz w:val="24"/>
              </w:rPr>
            </w:pPr>
            <w:r>
              <w:rPr>
                <w:rFonts w:hint="eastAsia" w:ascii="宋体" w:hAnsi="宋体" w:cs="宋体"/>
                <w:sz w:val="24"/>
              </w:rPr>
              <w:t xml:space="preserve">（21）  异型接口 KXK80内扣/80雌   4件  </w:t>
            </w:r>
          </w:p>
          <w:p>
            <w:pPr>
              <w:rPr>
                <w:rFonts w:hint="eastAsia" w:ascii="宋体" w:hAnsi="宋体" w:cs="宋体"/>
                <w:sz w:val="24"/>
              </w:rPr>
            </w:pPr>
            <w:r>
              <w:rPr>
                <w:rFonts w:hint="eastAsia" w:ascii="宋体" w:hAnsi="宋体" w:cs="宋体"/>
                <w:sz w:val="24"/>
              </w:rPr>
              <w:t>（22）  异型接口 KXK65内扣/80雌   4件</w:t>
            </w:r>
          </w:p>
        </w:tc>
      </w:tr>
    </w:tbl>
    <w:p>
      <w:pPr>
        <w:spacing w:line="360" w:lineRule="auto"/>
        <w:rPr>
          <w:rFonts w:hint="eastAsia" w:ascii="宋体" w:hAnsi="宋体"/>
          <w:b/>
          <w:sz w:val="24"/>
        </w:rPr>
      </w:pPr>
      <w:bookmarkStart w:id="2" w:name="_Toc30531"/>
      <w:r>
        <w:rPr>
          <w:rFonts w:hint="eastAsia" w:ascii="宋体" w:hAnsi="宋体"/>
          <w:b/>
          <w:sz w:val="24"/>
        </w:rPr>
        <w:t>备注：1、凡本技术参数低于现行国家标准的，均需满足现行国家标准；凡本技术参数高于现行国家标准的，以本技术参数为准。凡本技术参数所引用的相关的规范、标准作废的，则按现行的相关的规范、标准执行。</w:t>
      </w:r>
    </w:p>
    <w:bookmarkEnd w:id="2"/>
    <w:p>
      <w:pPr>
        <w:spacing w:line="360" w:lineRule="auto"/>
        <w:ind w:firstLine="482" w:firstLineChars="200"/>
        <w:jc w:val="left"/>
        <w:rPr>
          <w:rFonts w:cs="宋体"/>
          <w:b/>
          <w:bCs/>
          <w:color w:val="000000"/>
          <w:sz w:val="24"/>
        </w:rPr>
      </w:pPr>
      <w:r>
        <w:rPr>
          <w:rFonts w:hint="eastAsia" w:ascii="宋体" w:hAnsi="宋体" w:cs="宋体"/>
          <w:b/>
          <w:bCs/>
          <w:color w:val="000000"/>
          <w:sz w:val="24"/>
        </w:rPr>
        <w:t>★2.供应商须承诺，本项目产品中如涉及国家强制要求（CCC认证），提供的产品均符合国家强制要求（CCC认证）的相关规定（投标文件中须提供承诺函，加盖供应商鲜章，否则作无效投标文件处理）。</w:t>
      </w:r>
    </w:p>
    <w:p>
      <w:pPr>
        <w:pStyle w:val="7"/>
        <w:numPr>
          <w:ilvl w:val="0"/>
          <w:numId w:val="0"/>
        </w:numPr>
        <w:spacing w:line="440" w:lineRule="exact"/>
        <w:rPr>
          <w:rFonts w:hint="eastAsia" w:cs="宋体"/>
          <w:color w:val="000000"/>
          <w:sz w:val="24"/>
        </w:rPr>
      </w:pPr>
      <w:r>
        <w:rPr>
          <w:rFonts w:hint="eastAsia" w:cs="宋体"/>
          <w:color w:val="000000"/>
          <w:sz w:val="24"/>
        </w:rPr>
        <w:t>三、项目要求</w:t>
      </w:r>
    </w:p>
    <w:p>
      <w:pPr>
        <w:pStyle w:val="8"/>
        <w:tabs>
          <w:tab w:val="left" w:pos="0"/>
        </w:tabs>
        <w:wordWrap w:val="0"/>
        <w:topLinePunct/>
        <w:spacing w:line="440" w:lineRule="exact"/>
        <w:ind w:firstLine="482"/>
        <w:rPr>
          <w:rFonts w:hint="eastAsia" w:hAnsi="宋体"/>
          <w:b/>
          <w:bCs/>
          <w:color w:val="000000"/>
        </w:rPr>
      </w:pPr>
      <w:r>
        <w:rPr>
          <w:rFonts w:hint="eastAsia" w:hAnsi="宋体"/>
          <w:b/>
          <w:bCs/>
          <w:color w:val="000000"/>
        </w:rPr>
        <w:t>(一)质量要求</w:t>
      </w:r>
    </w:p>
    <w:p>
      <w:pPr>
        <w:pStyle w:val="9"/>
        <w:numPr>
          <w:ilvl w:val="2"/>
          <w:numId w:val="0"/>
        </w:numPr>
        <w:spacing w:line="440" w:lineRule="exact"/>
        <w:ind w:firstLine="480" w:firstLineChars="200"/>
        <w:outlineLvl w:val="9"/>
        <w:rPr>
          <w:rFonts w:hint="eastAsia" w:cs="宋体"/>
          <w:b w:val="0"/>
          <w:bCs/>
          <w:color w:val="000000"/>
          <w:sz w:val="24"/>
        </w:rPr>
      </w:pPr>
      <w:bookmarkStart w:id="3" w:name="_Toc28316"/>
      <w:bookmarkStart w:id="4" w:name="_Toc31688"/>
      <w:bookmarkStart w:id="5" w:name="_Toc24554"/>
      <w:bookmarkStart w:id="6" w:name="_Toc6115"/>
      <w:bookmarkStart w:id="7" w:name="_Toc17968"/>
      <w:r>
        <w:rPr>
          <w:rFonts w:hint="eastAsia" w:cs="宋体"/>
          <w:b w:val="0"/>
          <w:bCs/>
          <w:color w:val="000000"/>
          <w:sz w:val="24"/>
        </w:rPr>
        <w:t>1.供应商须提供全新的货物(含零部件、配件、使用说明书等)，表面无划伤、无碰撞痕迹，且权属清楚，不得侵害他人的知识产权。</w:t>
      </w:r>
      <w:bookmarkEnd w:id="3"/>
      <w:bookmarkEnd w:id="4"/>
      <w:bookmarkEnd w:id="5"/>
      <w:bookmarkEnd w:id="6"/>
      <w:bookmarkEnd w:id="7"/>
    </w:p>
    <w:p>
      <w:pPr>
        <w:pStyle w:val="9"/>
        <w:numPr>
          <w:ilvl w:val="2"/>
          <w:numId w:val="0"/>
        </w:numPr>
        <w:spacing w:line="440" w:lineRule="exact"/>
        <w:ind w:firstLine="480" w:firstLineChars="200"/>
        <w:outlineLvl w:val="9"/>
        <w:rPr>
          <w:rFonts w:hint="eastAsia" w:cs="宋体"/>
          <w:b w:val="0"/>
          <w:bCs/>
          <w:color w:val="000000"/>
          <w:sz w:val="24"/>
        </w:rPr>
      </w:pPr>
      <w:bookmarkStart w:id="8" w:name="_Toc13727"/>
      <w:bookmarkStart w:id="9" w:name="_Toc848"/>
      <w:bookmarkStart w:id="10" w:name="_Toc12305"/>
      <w:bookmarkStart w:id="11" w:name="_Toc5340"/>
      <w:bookmarkStart w:id="12" w:name="_Toc32687"/>
      <w:bookmarkStart w:id="13" w:name="_Toc16814"/>
      <w:r>
        <w:rPr>
          <w:rFonts w:hint="eastAsia" w:cs="宋体"/>
          <w:b w:val="0"/>
          <w:bCs/>
          <w:color w:val="000000"/>
          <w:sz w:val="24"/>
        </w:rPr>
        <w:t>2.货物必须符合或优于国家标准，以及本项目招标文件及技术协议的质量要求和技术指标与出厂标准。</w:t>
      </w:r>
      <w:bookmarkEnd w:id="8"/>
      <w:bookmarkEnd w:id="9"/>
      <w:bookmarkEnd w:id="10"/>
      <w:bookmarkEnd w:id="11"/>
      <w:bookmarkEnd w:id="12"/>
      <w:bookmarkEnd w:id="13"/>
    </w:p>
    <w:p>
      <w:pPr>
        <w:pStyle w:val="9"/>
        <w:numPr>
          <w:ilvl w:val="2"/>
          <w:numId w:val="0"/>
        </w:numPr>
        <w:spacing w:line="440" w:lineRule="exact"/>
        <w:ind w:firstLine="480" w:firstLineChars="200"/>
        <w:outlineLvl w:val="9"/>
        <w:rPr>
          <w:rFonts w:hint="eastAsia" w:cs="宋体"/>
          <w:b w:val="0"/>
          <w:bCs/>
          <w:color w:val="000000"/>
          <w:sz w:val="24"/>
        </w:rPr>
      </w:pPr>
      <w:bookmarkStart w:id="14" w:name="_Toc6351"/>
      <w:bookmarkStart w:id="15" w:name="_Toc7363"/>
      <w:bookmarkStart w:id="16" w:name="_Toc12538"/>
      <w:bookmarkStart w:id="17" w:name="_Toc2873"/>
      <w:bookmarkStart w:id="18" w:name="_Toc31530"/>
      <w:bookmarkStart w:id="19" w:name="_Toc20345"/>
      <w:r>
        <w:rPr>
          <w:rFonts w:hint="eastAsia" w:cs="宋体"/>
          <w:b w:val="0"/>
          <w:bCs/>
          <w:color w:val="000000"/>
          <w:sz w:val="24"/>
        </w:rPr>
        <w:t>3.货物制造质量出现问题，供应商应负责三包(包修、包换、包退)，费用由供应商负担。</w:t>
      </w:r>
      <w:bookmarkEnd w:id="14"/>
      <w:bookmarkEnd w:id="15"/>
      <w:bookmarkEnd w:id="16"/>
      <w:bookmarkEnd w:id="17"/>
      <w:bookmarkEnd w:id="18"/>
      <w:bookmarkEnd w:id="19"/>
    </w:p>
    <w:p>
      <w:pPr>
        <w:pStyle w:val="9"/>
        <w:numPr>
          <w:ilvl w:val="2"/>
          <w:numId w:val="0"/>
        </w:numPr>
        <w:spacing w:line="440" w:lineRule="exact"/>
        <w:ind w:firstLine="480" w:firstLineChars="200"/>
        <w:outlineLvl w:val="9"/>
        <w:rPr>
          <w:rFonts w:hint="eastAsia" w:cs="宋体"/>
          <w:b w:val="0"/>
          <w:bCs/>
          <w:color w:val="000000"/>
          <w:sz w:val="24"/>
        </w:rPr>
      </w:pPr>
      <w:bookmarkStart w:id="20" w:name="_Toc16561"/>
      <w:bookmarkStart w:id="21" w:name="_Toc12788"/>
      <w:bookmarkStart w:id="22" w:name="_Toc25881"/>
      <w:bookmarkStart w:id="23" w:name="_Toc3845"/>
      <w:bookmarkStart w:id="24" w:name="_Toc17484"/>
      <w:r>
        <w:rPr>
          <w:rFonts w:hint="eastAsia" w:cs="宋体"/>
          <w:b w:val="0"/>
          <w:bCs/>
          <w:color w:val="000000"/>
          <w:sz w:val="24"/>
        </w:rPr>
        <w:t>4.货到现场后由于采购人保管不当造成的质量问题，供应商亦应负责修理，但费用由采购人负担。</w:t>
      </w:r>
      <w:bookmarkEnd w:id="20"/>
      <w:bookmarkEnd w:id="21"/>
      <w:bookmarkEnd w:id="22"/>
      <w:bookmarkEnd w:id="23"/>
      <w:bookmarkEnd w:id="24"/>
    </w:p>
    <w:p>
      <w:pPr>
        <w:pStyle w:val="9"/>
        <w:numPr>
          <w:ilvl w:val="2"/>
          <w:numId w:val="0"/>
        </w:numPr>
        <w:spacing w:line="440" w:lineRule="exact"/>
        <w:outlineLvl w:val="9"/>
        <w:rPr>
          <w:rFonts w:cs="宋体"/>
          <w:bCs/>
          <w:color w:val="000000"/>
          <w:sz w:val="24"/>
        </w:rPr>
      </w:pPr>
      <w:r>
        <w:rPr>
          <w:rFonts w:hint="eastAsia" w:cs="宋体"/>
          <w:bCs/>
          <w:color w:val="000000"/>
          <w:sz w:val="24"/>
        </w:rPr>
        <w:t>★四、商务要求</w:t>
      </w:r>
    </w:p>
    <w:p>
      <w:pPr>
        <w:pStyle w:val="9"/>
        <w:numPr>
          <w:ilvl w:val="2"/>
          <w:numId w:val="0"/>
        </w:numPr>
        <w:spacing w:line="440" w:lineRule="exact"/>
        <w:ind w:firstLine="482" w:firstLineChars="200"/>
        <w:outlineLvl w:val="9"/>
        <w:rPr>
          <w:rFonts w:hint="eastAsia" w:cs="宋体"/>
          <w:b w:val="0"/>
          <w:bCs/>
          <w:color w:val="000000"/>
          <w:sz w:val="24"/>
        </w:rPr>
      </w:pPr>
      <w:bookmarkStart w:id="25" w:name="_Toc17061"/>
      <w:bookmarkStart w:id="26" w:name="_Toc3990"/>
      <w:bookmarkStart w:id="27" w:name="_Toc8371"/>
      <w:bookmarkStart w:id="28" w:name="_Toc13511"/>
      <w:bookmarkStart w:id="29" w:name="_Toc20100"/>
      <w:bookmarkStart w:id="30" w:name="_Toc17043"/>
      <w:bookmarkStart w:id="31" w:name="_Toc27284"/>
      <w:r>
        <w:rPr>
          <w:rFonts w:hint="eastAsia" w:cs="宋体"/>
          <w:sz w:val="24"/>
        </w:rPr>
        <w:t>★1.质量保证期、保修期</w:t>
      </w:r>
      <w:bookmarkEnd w:id="25"/>
      <w:bookmarkEnd w:id="26"/>
      <w:bookmarkStart w:id="32" w:name="_Toc14893"/>
      <w:bookmarkStart w:id="33" w:name="_Toc27012"/>
      <w:r>
        <w:rPr>
          <w:rFonts w:hint="eastAsia" w:cs="宋体"/>
          <w:sz w:val="24"/>
        </w:rPr>
        <w:t>：</w:t>
      </w:r>
      <w:r>
        <w:rPr>
          <w:rFonts w:hint="eastAsia" w:cs="宋体"/>
          <w:b w:val="0"/>
          <w:bCs/>
          <w:color w:val="000000"/>
          <w:sz w:val="24"/>
        </w:rPr>
        <w:t>消防车辆的质保期不少于5年，车辆易损配件及零件储备期不少于10年；消防器材装备质保期不少于3年，在保修期内属产品质量问题（非人为因素）所发生的一切费用由供方负担，保修期满后保证长期供应零备件，终身提供维修服务。</w:t>
      </w:r>
    </w:p>
    <w:bookmarkEnd w:id="27"/>
    <w:bookmarkEnd w:id="28"/>
    <w:bookmarkEnd w:id="29"/>
    <w:bookmarkEnd w:id="30"/>
    <w:bookmarkEnd w:id="31"/>
    <w:bookmarkEnd w:id="32"/>
    <w:bookmarkEnd w:id="33"/>
    <w:p>
      <w:pPr>
        <w:spacing w:line="360" w:lineRule="auto"/>
        <w:ind w:firstLine="480" w:firstLineChars="200"/>
        <w:jc w:val="left"/>
        <w:outlineLvl w:val="1"/>
        <w:rPr>
          <w:rFonts w:hint="eastAsia" w:ascii="宋体" w:hAnsi="宋体" w:cs="宋体"/>
          <w:sz w:val="24"/>
        </w:rPr>
      </w:pPr>
      <w:bookmarkStart w:id="34" w:name="_Toc16205"/>
      <w:bookmarkStart w:id="35" w:name="_Toc18318"/>
      <w:bookmarkStart w:id="36" w:name="_Toc5449"/>
      <w:bookmarkStart w:id="37" w:name="_Toc4572"/>
      <w:bookmarkStart w:id="38" w:name="_Toc3622"/>
      <w:bookmarkStart w:id="39" w:name="_Toc23789"/>
      <w:bookmarkStart w:id="40" w:name="_Toc2254"/>
      <w:r>
        <w:rPr>
          <w:rFonts w:hint="eastAsia" w:ascii="宋体" w:hAnsi="宋体" w:cs="宋体"/>
          <w:sz w:val="24"/>
        </w:rPr>
        <w:t>2.售后服务</w:t>
      </w:r>
      <w:bookmarkEnd w:id="34"/>
      <w:bookmarkEnd w:id="35"/>
      <w:bookmarkEnd w:id="36"/>
      <w:bookmarkEnd w:id="37"/>
      <w:bookmarkEnd w:id="38"/>
      <w:bookmarkEnd w:id="39"/>
      <w:bookmarkEnd w:id="40"/>
      <w:r>
        <w:rPr>
          <w:rFonts w:hint="eastAsia" w:ascii="宋体" w:hAnsi="宋体" w:cs="宋体"/>
          <w:sz w:val="24"/>
        </w:rPr>
        <w:t xml:space="preserve"> </w:t>
      </w:r>
    </w:p>
    <w:p>
      <w:pPr>
        <w:spacing w:line="360" w:lineRule="auto"/>
        <w:ind w:firstLine="480" w:firstLineChars="200"/>
        <w:jc w:val="left"/>
        <w:outlineLvl w:val="1"/>
        <w:rPr>
          <w:rFonts w:hint="eastAsia" w:ascii="宋体" w:hAnsi="宋体" w:cs="宋体"/>
          <w:sz w:val="24"/>
        </w:rPr>
      </w:pPr>
      <w:bookmarkStart w:id="41" w:name="_Toc16346"/>
      <w:bookmarkStart w:id="42" w:name="_Toc849"/>
      <w:bookmarkStart w:id="43" w:name="_Toc27890"/>
      <w:bookmarkStart w:id="44" w:name="_Toc17260"/>
      <w:bookmarkStart w:id="45" w:name="_Toc21545"/>
      <w:bookmarkStart w:id="46" w:name="_Toc1215"/>
      <w:bookmarkStart w:id="47" w:name="_Toc17770"/>
      <w:r>
        <w:rPr>
          <w:rFonts w:hint="eastAsia" w:ascii="宋体" w:hAnsi="宋体" w:cs="宋体"/>
          <w:sz w:val="24"/>
        </w:rPr>
        <w:t>2.1 保修期内出现质量问题，投标人在接到通知后 12 小时内响应到场，完成维修或更换，并承担修理调换的费用；如货物经投标人3次维修仍不能达到本项目要求的质量标准，采购人有权退货并追究投标人的违约责任。未经使用人同意，维修维护使用的备品备件及易损件，不得为非原厂件。</w:t>
      </w:r>
      <w:bookmarkEnd w:id="41"/>
      <w:bookmarkEnd w:id="42"/>
      <w:bookmarkEnd w:id="43"/>
      <w:bookmarkEnd w:id="44"/>
      <w:bookmarkEnd w:id="45"/>
      <w:bookmarkEnd w:id="46"/>
      <w:bookmarkEnd w:id="47"/>
    </w:p>
    <w:p>
      <w:pPr>
        <w:spacing w:line="360" w:lineRule="auto"/>
        <w:ind w:firstLine="480" w:firstLineChars="200"/>
        <w:jc w:val="left"/>
        <w:outlineLvl w:val="1"/>
        <w:rPr>
          <w:rFonts w:hint="eastAsia" w:ascii="宋体" w:hAnsi="宋体" w:cs="宋体"/>
          <w:sz w:val="24"/>
        </w:rPr>
      </w:pPr>
      <w:bookmarkStart w:id="48" w:name="_Toc19245"/>
      <w:bookmarkStart w:id="49" w:name="_Toc31083"/>
      <w:bookmarkStart w:id="50" w:name="_Toc24416"/>
      <w:bookmarkStart w:id="51" w:name="_Toc15290"/>
      <w:bookmarkStart w:id="52" w:name="_Toc16537"/>
      <w:bookmarkStart w:id="53" w:name="_Toc16734"/>
      <w:bookmarkStart w:id="54" w:name="_Toc9345"/>
      <w:r>
        <w:rPr>
          <w:rFonts w:hint="eastAsia" w:ascii="宋体" w:hAnsi="宋体" w:cs="宋体"/>
          <w:sz w:val="24"/>
        </w:rPr>
        <w:t>2.2 投标人需建立相应的售后维护档案，每次故障维修提交报告，并提出预防性维护措施，记录每次故障响应服务和预防性维护的详细情况。</w:t>
      </w:r>
      <w:bookmarkEnd w:id="48"/>
      <w:bookmarkEnd w:id="49"/>
      <w:bookmarkEnd w:id="50"/>
      <w:bookmarkEnd w:id="51"/>
      <w:bookmarkEnd w:id="52"/>
      <w:bookmarkEnd w:id="53"/>
      <w:bookmarkEnd w:id="54"/>
    </w:p>
    <w:p>
      <w:pPr>
        <w:spacing w:line="360" w:lineRule="auto"/>
        <w:ind w:firstLine="480" w:firstLineChars="200"/>
        <w:jc w:val="left"/>
        <w:outlineLvl w:val="1"/>
        <w:rPr>
          <w:rFonts w:hint="eastAsia" w:ascii="宋体" w:hAnsi="宋体" w:cs="宋体"/>
          <w:sz w:val="24"/>
        </w:rPr>
      </w:pPr>
      <w:bookmarkStart w:id="55" w:name="_Toc32682"/>
      <w:bookmarkStart w:id="56" w:name="_Toc24467"/>
      <w:bookmarkStart w:id="57" w:name="_Toc16282"/>
      <w:bookmarkStart w:id="58" w:name="_Toc26272"/>
      <w:bookmarkStart w:id="59" w:name="_Toc25729"/>
      <w:bookmarkStart w:id="60" w:name="_Toc11965"/>
      <w:bookmarkStart w:id="61" w:name="_Toc8620"/>
      <w:r>
        <w:rPr>
          <w:rFonts w:hint="eastAsia" w:ascii="宋体" w:hAnsi="宋体" w:cs="宋体"/>
          <w:sz w:val="24"/>
        </w:rPr>
        <w:t>2.3 投标人需建立专门的回访制度，设立专职服务人员，为用户免费提供至少每季度一次的回访、技术咨询和技术培训等服务。</w:t>
      </w:r>
      <w:bookmarkEnd w:id="55"/>
      <w:bookmarkEnd w:id="56"/>
      <w:bookmarkEnd w:id="57"/>
      <w:bookmarkEnd w:id="58"/>
      <w:bookmarkEnd w:id="59"/>
      <w:bookmarkEnd w:id="60"/>
      <w:bookmarkEnd w:id="61"/>
    </w:p>
    <w:p>
      <w:pPr>
        <w:spacing w:line="360" w:lineRule="auto"/>
        <w:ind w:firstLine="480" w:firstLineChars="200"/>
        <w:jc w:val="left"/>
        <w:outlineLvl w:val="1"/>
        <w:rPr>
          <w:rFonts w:hint="eastAsia" w:ascii="宋体" w:hAnsi="宋体" w:cs="宋体"/>
          <w:sz w:val="24"/>
        </w:rPr>
      </w:pPr>
      <w:bookmarkStart w:id="62" w:name="_Toc5202"/>
      <w:bookmarkStart w:id="63" w:name="_Toc16746"/>
      <w:bookmarkStart w:id="64" w:name="_Toc7975"/>
      <w:bookmarkStart w:id="65" w:name="_Toc6823"/>
      <w:bookmarkStart w:id="66" w:name="_Toc21759"/>
      <w:bookmarkStart w:id="67" w:name="_Toc23715"/>
      <w:bookmarkStart w:id="68" w:name="_Toc148"/>
      <w:r>
        <w:rPr>
          <w:rFonts w:hint="eastAsia" w:ascii="宋体" w:hAnsi="宋体" w:cs="宋体"/>
          <w:sz w:val="24"/>
        </w:rPr>
        <w:t>★3.履约保证金：</w:t>
      </w:r>
      <w:bookmarkEnd w:id="62"/>
      <w:bookmarkEnd w:id="63"/>
      <w:bookmarkEnd w:id="64"/>
      <w:bookmarkEnd w:id="65"/>
      <w:bookmarkEnd w:id="66"/>
      <w:bookmarkEnd w:id="67"/>
      <w:bookmarkEnd w:id="68"/>
    </w:p>
    <w:p>
      <w:pPr>
        <w:spacing w:line="360" w:lineRule="auto"/>
        <w:ind w:firstLine="480" w:firstLineChars="200"/>
        <w:jc w:val="left"/>
        <w:outlineLvl w:val="1"/>
        <w:rPr>
          <w:rFonts w:hint="eastAsia" w:ascii="宋体" w:hAnsi="宋体" w:cs="宋体"/>
          <w:sz w:val="24"/>
        </w:rPr>
      </w:pPr>
      <w:bookmarkStart w:id="69" w:name="_Toc8321"/>
      <w:bookmarkStart w:id="70" w:name="_Toc31496"/>
      <w:bookmarkStart w:id="71" w:name="_Toc24844"/>
      <w:bookmarkStart w:id="72" w:name="_Toc29158"/>
      <w:bookmarkStart w:id="73" w:name="_Toc4822"/>
      <w:bookmarkStart w:id="74" w:name="_Toc24718"/>
      <w:bookmarkStart w:id="75" w:name="_Toc3086"/>
      <w:r>
        <w:rPr>
          <w:rFonts w:hint="eastAsia" w:ascii="宋体" w:hAnsi="宋体" w:cs="宋体"/>
          <w:sz w:val="24"/>
        </w:rPr>
        <w:t>（1）履约保证金金额：中标金额的3%；</w:t>
      </w:r>
      <w:bookmarkEnd w:id="69"/>
      <w:bookmarkEnd w:id="70"/>
      <w:bookmarkEnd w:id="71"/>
      <w:bookmarkEnd w:id="72"/>
      <w:bookmarkEnd w:id="73"/>
      <w:bookmarkEnd w:id="74"/>
      <w:bookmarkEnd w:id="75"/>
      <w:r>
        <w:rPr>
          <w:rFonts w:hint="eastAsia" w:ascii="宋体" w:hAnsi="宋体" w:cs="宋体"/>
          <w:sz w:val="24"/>
        </w:rPr>
        <w:t xml:space="preserve"> </w:t>
      </w:r>
    </w:p>
    <w:p>
      <w:pPr>
        <w:spacing w:line="360" w:lineRule="auto"/>
        <w:ind w:firstLine="480" w:firstLineChars="200"/>
        <w:jc w:val="left"/>
        <w:outlineLvl w:val="1"/>
        <w:rPr>
          <w:rFonts w:hint="eastAsia" w:ascii="宋体" w:hAnsi="宋体" w:cs="宋体"/>
          <w:sz w:val="24"/>
        </w:rPr>
      </w:pPr>
      <w:bookmarkStart w:id="76" w:name="_Toc10080"/>
      <w:bookmarkStart w:id="77" w:name="_Toc25979"/>
      <w:bookmarkStart w:id="78" w:name="_Toc8014"/>
      <w:bookmarkStart w:id="79" w:name="_Toc198"/>
      <w:bookmarkStart w:id="80" w:name="_Toc7163"/>
      <w:bookmarkStart w:id="81" w:name="_Toc13753"/>
      <w:bookmarkStart w:id="82" w:name="_Toc22710"/>
      <w:r>
        <w:rPr>
          <w:rFonts w:hint="eastAsia" w:ascii="宋体" w:hAnsi="宋体" w:cs="宋体"/>
          <w:sz w:val="24"/>
        </w:rPr>
        <w:t>（2）递交方式：以支票、汇票、本票、网银转账、电汇或者金融机构出具的保函等非现金形式递交，推荐使用履约保函（本项目履约保函有效期不得小于 18 个月）。（注：提供保函的担保机构必须是依法成立的具有相关资质和偿付能力的担保机构。保函是银行等金融机构出具的，保函必须要在中国人民银行征信系统能够进行查询）；</w:t>
      </w:r>
      <w:bookmarkEnd w:id="76"/>
      <w:bookmarkEnd w:id="77"/>
      <w:bookmarkEnd w:id="78"/>
      <w:bookmarkEnd w:id="79"/>
      <w:bookmarkEnd w:id="80"/>
      <w:bookmarkEnd w:id="81"/>
      <w:bookmarkEnd w:id="82"/>
    </w:p>
    <w:p>
      <w:pPr>
        <w:spacing w:line="360" w:lineRule="auto"/>
        <w:ind w:firstLine="480" w:firstLineChars="200"/>
        <w:jc w:val="left"/>
        <w:outlineLvl w:val="1"/>
        <w:rPr>
          <w:rFonts w:hint="eastAsia" w:ascii="宋体" w:hAnsi="宋体" w:cs="宋体"/>
          <w:sz w:val="24"/>
        </w:rPr>
      </w:pPr>
      <w:bookmarkStart w:id="83" w:name="_Toc24036"/>
      <w:bookmarkStart w:id="84" w:name="_Toc29942"/>
      <w:bookmarkStart w:id="85" w:name="_Toc10129"/>
      <w:bookmarkStart w:id="86" w:name="_Toc28740"/>
      <w:bookmarkStart w:id="87" w:name="_Toc18015"/>
      <w:bookmarkStart w:id="88" w:name="_Toc11148"/>
      <w:bookmarkStart w:id="89" w:name="_Toc20314"/>
      <w:r>
        <w:rPr>
          <w:rFonts w:hint="eastAsia" w:ascii="宋体" w:hAnsi="宋体" w:cs="宋体"/>
          <w:sz w:val="24"/>
        </w:rPr>
        <w:t>（3）递交时间：中标通知书发出后政府采购合同签订前；</w:t>
      </w:r>
      <w:bookmarkEnd w:id="83"/>
      <w:bookmarkEnd w:id="84"/>
      <w:bookmarkEnd w:id="85"/>
      <w:bookmarkEnd w:id="86"/>
      <w:bookmarkEnd w:id="87"/>
      <w:bookmarkEnd w:id="88"/>
      <w:bookmarkEnd w:id="89"/>
    </w:p>
    <w:p>
      <w:pPr>
        <w:spacing w:line="360" w:lineRule="auto"/>
        <w:ind w:firstLine="480" w:firstLineChars="200"/>
        <w:jc w:val="left"/>
        <w:outlineLvl w:val="1"/>
        <w:rPr>
          <w:rFonts w:hint="eastAsia" w:ascii="宋体" w:hAnsi="宋体" w:cs="宋体"/>
          <w:sz w:val="24"/>
        </w:rPr>
      </w:pPr>
      <w:bookmarkStart w:id="90" w:name="_Toc7610"/>
      <w:bookmarkStart w:id="91" w:name="_Toc21742"/>
      <w:bookmarkStart w:id="92" w:name="_Toc10014"/>
      <w:bookmarkStart w:id="93" w:name="_Toc8524"/>
      <w:bookmarkStart w:id="94" w:name="_Toc25047"/>
      <w:bookmarkStart w:id="95" w:name="_Toc2073"/>
      <w:bookmarkStart w:id="96" w:name="_Toc15596"/>
      <w:r>
        <w:rPr>
          <w:rFonts w:hint="eastAsia" w:ascii="宋体" w:hAnsi="宋体" w:cs="宋体"/>
          <w:sz w:val="24"/>
        </w:rPr>
        <w:t>（4）收款单位：</w:t>
      </w:r>
      <w:bookmarkEnd w:id="90"/>
      <w:bookmarkEnd w:id="91"/>
      <w:bookmarkEnd w:id="92"/>
      <w:r>
        <w:rPr>
          <w:rFonts w:hint="eastAsia" w:ascii="宋体" w:hAnsi="宋体" w:cs="宋体"/>
          <w:sz w:val="24"/>
        </w:rPr>
        <w:t>四川省消防救援总队；</w:t>
      </w:r>
      <w:bookmarkEnd w:id="93"/>
      <w:bookmarkEnd w:id="94"/>
      <w:bookmarkEnd w:id="95"/>
      <w:bookmarkEnd w:id="96"/>
    </w:p>
    <w:p>
      <w:pPr>
        <w:spacing w:line="360" w:lineRule="auto"/>
        <w:ind w:firstLine="480" w:firstLineChars="200"/>
        <w:jc w:val="left"/>
        <w:outlineLvl w:val="1"/>
        <w:rPr>
          <w:rFonts w:hint="eastAsia" w:ascii="宋体" w:hAnsi="宋体" w:cs="宋体"/>
          <w:sz w:val="24"/>
        </w:rPr>
      </w:pPr>
      <w:bookmarkStart w:id="97" w:name="_Toc12468"/>
      <w:bookmarkStart w:id="98" w:name="_Toc27079"/>
      <w:bookmarkStart w:id="99" w:name="_Toc8574"/>
      <w:bookmarkStart w:id="100" w:name="_Toc21286"/>
      <w:bookmarkStart w:id="101" w:name="_Toc3811"/>
      <w:bookmarkStart w:id="102" w:name="_Toc15734"/>
      <w:bookmarkStart w:id="103" w:name="_Toc11126"/>
      <w:r>
        <w:rPr>
          <w:rFonts w:hint="eastAsia" w:ascii="宋体" w:hAnsi="宋体" w:cs="宋体"/>
          <w:sz w:val="24"/>
        </w:rPr>
        <w:t>（5）履约保证金退还方式：</w:t>
      </w:r>
      <w:bookmarkEnd w:id="97"/>
      <w:bookmarkEnd w:id="98"/>
      <w:bookmarkEnd w:id="99"/>
      <w:bookmarkEnd w:id="100"/>
      <w:bookmarkEnd w:id="101"/>
      <w:bookmarkEnd w:id="102"/>
      <w:bookmarkEnd w:id="103"/>
    </w:p>
    <w:p>
      <w:pPr>
        <w:spacing w:line="360" w:lineRule="auto"/>
        <w:ind w:firstLine="480" w:firstLineChars="200"/>
        <w:jc w:val="left"/>
        <w:outlineLvl w:val="1"/>
        <w:rPr>
          <w:rFonts w:hint="eastAsia" w:ascii="宋体" w:hAnsi="宋体" w:cs="宋体"/>
          <w:sz w:val="24"/>
        </w:rPr>
      </w:pPr>
      <w:bookmarkStart w:id="104" w:name="_Toc16073"/>
      <w:bookmarkStart w:id="105" w:name="_Toc15347"/>
      <w:bookmarkStart w:id="106" w:name="_Toc14137"/>
      <w:bookmarkStart w:id="107" w:name="_Toc31896"/>
      <w:bookmarkStart w:id="108" w:name="_Toc17969"/>
      <w:bookmarkStart w:id="109" w:name="_Toc13452"/>
      <w:bookmarkStart w:id="110" w:name="_Toc4691"/>
      <w:r>
        <w:rPr>
          <w:rFonts w:hint="eastAsia" w:ascii="宋体" w:hAnsi="宋体" w:cs="宋体"/>
          <w:sz w:val="24"/>
        </w:rPr>
        <w:t>①以网银转账、电汇等方式提交的，履约保证金以网银转账、电汇等方式退至转款账户；②以保函方式提交的，退还保函原件；</w:t>
      </w:r>
      <w:bookmarkEnd w:id="104"/>
      <w:bookmarkEnd w:id="105"/>
      <w:bookmarkEnd w:id="106"/>
      <w:bookmarkEnd w:id="107"/>
      <w:bookmarkEnd w:id="108"/>
      <w:bookmarkEnd w:id="109"/>
      <w:bookmarkEnd w:id="110"/>
    </w:p>
    <w:p>
      <w:pPr>
        <w:spacing w:line="360" w:lineRule="auto"/>
        <w:ind w:firstLine="480" w:firstLineChars="200"/>
        <w:jc w:val="left"/>
        <w:outlineLvl w:val="1"/>
        <w:rPr>
          <w:rFonts w:hint="eastAsia" w:ascii="宋体" w:hAnsi="宋体" w:cs="宋体"/>
          <w:sz w:val="24"/>
        </w:rPr>
      </w:pPr>
      <w:r>
        <w:rPr>
          <w:rFonts w:hint="eastAsia" w:ascii="宋体" w:hAnsi="宋体" w:cs="宋体"/>
          <w:sz w:val="24"/>
        </w:rPr>
        <w:t>（6）履约保证金退还时间：验收合格后之日起满 1 年后，由采购人确认无质量问题的情况下，采购人无息退还；</w:t>
      </w:r>
    </w:p>
    <w:p>
      <w:pPr>
        <w:spacing w:line="360" w:lineRule="auto"/>
        <w:ind w:firstLine="480" w:firstLineChars="200"/>
        <w:jc w:val="left"/>
        <w:outlineLvl w:val="1"/>
        <w:rPr>
          <w:rFonts w:hint="eastAsia" w:ascii="宋体" w:hAnsi="宋体" w:cs="宋体"/>
          <w:sz w:val="24"/>
        </w:rPr>
      </w:pPr>
      <w:bookmarkStart w:id="111" w:name="_Toc9442"/>
      <w:bookmarkStart w:id="112" w:name="_Toc7293"/>
      <w:bookmarkStart w:id="113" w:name="_Toc23621"/>
      <w:bookmarkStart w:id="114" w:name="_Toc18720"/>
      <w:bookmarkStart w:id="115" w:name="_Toc12431"/>
      <w:bookmarkStart w:id="116" w:name="_Toc30404"/>
      <w:bookmarkStart w:id="117" w:name="_Toc29288"/>
      <w:r>
        <w:rPr>
          <w:rFonts w:hint="eastAsia" w:ascii="宋体" w:hAnsi="宋体" w:cs="宋体"/>
          <w:sz w:val="24"/>
        </w:rPr>
        <w:t>（7）履约保证金不予退还情形：出现合同约定的不予退还情形。</w:t>
      </w:r>
      <w:bookmarkEnd w:id="111"/>
      <w:bookmarkEnd w:id="112"/>
      <w:bookmarkEnd w:id="113"/>
      <w:bookmarkEnd w:id="114"/>
      <w:bookmarkEnd w:id="115"/>
      <w:bookmarkEnd w:id="116"/>
      <w:bookmarkEnd w:id="117"/>
    </w:p>
    <w:p>
      <w:pPr>
        <w:spacing w:line="360" w:lineRule="auto"/>
        <w:ind w:firstLine="480" w:firstLineChars="200"/>
        <w:jc w:val="left"/>
        <w:outlineLvl w:val="1"/>
        <w:rPr>
          <w:rFonts w:hint="eastAsia" w:ascii="宋体" w:hAnsi="宋体" w:cs="宋体"/>
          <w:sz w:val="24"/>
        </w:rPr>
      </w:pPr>
      <w:bookmarkStart w:id="118" w:name="_Toc29068"/>
      <w:bookmarkStart w:id="119" w:name="_Toc22689"/>
      <w:bookmarkStart w:id="120" w:name="_Toc21738"/>
      <w:bookmarkStart w:id="121" w:name="_Toc4142"/>
      <w:bookmarkStart w:id="122" w:name="_Toc7979"/>
      <w:bookmarkStart w:id="123" w:name="_Toc18194"/>
      <w:bookmarkStart w:id="124" w:name="_Toc21538"/>
      <w:r>
        <w:rPr>
          <w:rFonts w:hint="eastAsia" w:ascii="宋体" w:hAnsi="宋体" w:cs="宋体"/>
          <w:sz w:val="24"/>
        </w:rPr>
        <w:t>履约保证金不予退还的，将按照有关规定上缴国库。逾期退还履约保证金的，将依法承担法律责任，并赔偿投标人损失。</w:t>
      </w:r>
      <w:bookmarkEnd w:id="118"/>
      <w:bookmarkEnd w:id="119"/>
      <w:bookmarkEnd w:id="120"/>
      <w:bookmarkEnd w:id="121"/>
      <w:bookmarkEnd w:id="122"/>
      <w:bookmarkEnd w:id="123"/>
      <w:bookmarkEnd w:id="124"/>
      <w:bookmarkStart w:id="125" w:name="_Toc4451"/>
      <w:bookmarkStart w:id="126" w:name="_Toc19790"/>
      <w:bookmarkStart w:id="127" w:name="_Toc25937"/>
      <w:bookmarkStart w:id="128" w:name="_Toc30858"/>
    </w:p>
    <w:p>
      <w:pPr>
        <w:spacing w:line="360" w:lineRule="auto"/>
        <w:ind w:firstLine="480" w:firstLineChars="200"/>
        <w:jc w:val="left"/>
        <w:outlineLvl w:val="1"/>
        <w:rPr>
          <w:rFonts w:hint="eastAsia" w:ascii="宋体" w:hAnsi="宋体" w:cs="宋体"/>
          <w:sz w:val="24"/>
        </w:rPr>
      </w:pPr>
      <w:bookmarkStart w:id="129" w:name="_Toc5917"/>
      <w:bookmarkStart w:id="130" w:name="_Toc3109"/>
      <w:bookmarkStart w:id="131" w:name="_Toc21468"/>
      <w:r>
        <w:rPr>
          <w:rFonts w:hint="eastAsia" w:ascii="宋体" w:hAnsi="宋体" w:cs="宋体"/>
          <w:sz w:val="24"/>
        </w:rPr>
        <w:t>4.付款方式：</w:t>
      </w:r>
      <w:bookmarkEnd w:id="125"/>
      <w:bookmarkEnd w:id="126"/>
      <w:bookmarkEnd w:id="127"/>
      <w:bookmarkEnd w:id="128"/>
      <w:bookmarkEnd w:id="129"/>
      <w:bookmarkEnd w:id="130"/>
      <w:bookmarkEnd w:id="131"/>
      <w:r>
        <w:rPr>
          <w:rFonts w:hint="eastAsia" w:ascii="宋体" w:hAnsi="宋体" w:cs="宋体"/>
          <w:sz w:val="24"/>
        </w:rPr>
        <w:t xml:space="preserve"> </w:t>
      </w:r>
    </w:p>
    <w:p>
      <w:pPr>
        <w:spacing w:line="360" w:lineRule="auto"/>
        <w:ind w:firstLine="480" w:firstLineChars="200"/>
        <w:jc w:val="left"/>
        <w:outlineLvl w:val="1"/>
        <w:rPr>
          <w:rFonts w:hint="eastAsia" w:ascii="宋体" w:hAnsi="宋体" w:cs="宋体"/>
          <w:sz w:val="24"/>
        </w:rPr>
      </w:pPr>
      <w:r>
        <w:rPr>
          <w:rFonts w:hint="eastAsia" w:ascii="宋体" w:hAnsi="宋体" w:cs="宋体"/>
          <w:sz w:val="24"/>
        </w:rPr>
        <w:t xml:space="preserve">由需求单位向中标人支付款项，合同签订后7个工作日提供相关票据给采购方，采购方在15个工作日内向中标方支付30%预付款，交货验收合格后采购方凭票据在15个工作日内向中标方再支付合同金额的 70%货款，验收合格满1年后且能正常使用，凭相关证明材料无息退还履约保证金（或履约保函）。 </w:t>
      </w:r>
    </w:p>
    <w:p>
      <w:pPr>
        <w:spacing w:line="360" w:lineRule="auto"/>
        <w:ind w:firstLine="480" w:firstLineChars="200"/>
        <w:jc w:val="left"/>
        <w:outlineLvl w:val="1"/>
        <w:rPr>
          <w:rFonts w:hint="eastAsia" w:ascii="宋体" w:hAnsi="宋体" w:cs="宋体"/>
          <w:sz w:val="24"/>
        </w:rPr>
      </w:pPr>
      <w:bookmarkStart w:id="132" w:name="_Toc9549"/>
      <w:bookmarkStart w:id="133" w:name="_Toc16843"/>
      <w:bookmarkStart w:id="134" w:name="_Toc15011"/>
      <w:bookmarkStart w:id="135" w:name="_Toc14706"/>
      <w:bookmarkStart w:id="136" w:name="_Toc26020"/>
      <w:bookmarkStart w:id="137" w:name="_Toc19056"/>
      <w:bookmarkStart w:id="138" w:name="_Toc21476"/>
      <w:r>
        <w:rPr>
          <w:rFonts w:hint="eastAsia" w:ascii="宋体" w:hAnsi="宋体" w:cs="宋体"/>
          <w:sz w:val="24"/>
        </w:rPr>
        <w:t>5.交货要求</w:t>
      </w:r>
      <w:bookmarkEnd w:id="132"/>
      <w:bookmarkEnd w:id="133"/>
      <w:bookmarkEnd w:id="134"/>
      <w:bookmarkEnd w:id="135"/>
      <w:bookmarkEnd w:id="136"/>
      <w:bookmarkEnd w:id="137"/>
      <w:bookmarkEnd w:id="138"/>
      <w:r>
        <w:rPr>
          <w:rFonts w:hint="eastAsia" w:ascii="宋体" w:hAnsi="宋体" w:cs="宋体"/>
          <w:sz w:val="24"/>
        </w:rPr>
        <w:t xml:space="preserve"> </w:t>
      </w:r>
    </w:p>
    <w:p>
      <w:pPr>
        <w:spacing w:line="360" w:lineRule="auto"/>
        <w:ind w:firstLine="480" w:firstLineChars="200"/>
        <w:jc w:val="left"/>
        <w:outlineLvl w:val="1"/>
        <w:rPr>
          <w:rFonts w:hint="eastAsia" w:ascii="宋体" w:hAnsi="宋体" w:cs="宋体"/>
          <w:sz w:val="24"/>
        </w:rPr>
      </w:pPr>
      <w:bookmarkStart w:id="139" w:name="_Toc18788"/>
      <w:bookmarkStart w:id="140" w:name="_Toc7914"/>
      <w:bookmarkStart w:id="141" w:name="_Toc21965"/>
      <w:bookmarkStart w:id="142" w:name="_Toc8176"/>
      <w:bookmarkStart w:id="143" w:name="_Toc15134"/>
      <w:bookmarkStart w:id="144" w:name="_Toc32756"/>
      <w:bookmarkStart w:id="145" w:name="_Toc9815"/>
      <w:r>
        <w:rPr>
          <w:rFonts w:hint="eastAsia" w:ascii="宋体" w:hAnsi="宋体" w:cs="宋体"/>
          <w:sz w:val="24"/>
        </w:rPr>
        <w:t>5.1 交货时间：（1）签订合同后180日历天内完成交货，并确保验收合格，因不可抗力因素无法完成交货，具体时间在合同中进行约定；</w:t>
      </w:r>
      <w:bookmarkEnd w:id="139"/>
      <w:bookmarkEnd w:id="140"/>
      <w:bookmarkEnd w:id="141"/>
      <w:bookmarkEnd w:id="142"/>
      <w:bookmarkEnd w:id="143"/>
      <w:bookmarkEnd w:id="144"/>
      <w:bookmarkEnd w:id="145"/>
      <w:bookmarkStart w:id="146" w:name="_Toc15448"/>
      <w:bookmarkStart w:id="147" w:name="_Toc32497"/>
      <w:bookmarkStart w:id="148" w:name="_Toc29474"/>
      <w:bookmarkStart w:id="149" w:name="_Toc7436"/>
      <w:bookmarkStart w:id="150" w:name="_Toc6280"/>
      <w:bookmarkStart w:id="151" w:name="_Toc26847"/>
      <w:bookmarkStart w:id="152" w:name="_Toc14812"/>
    </w:p>
    <w:p>
      <w:pPr>
        <w:spacing w:line="360" w:lineRule="auto"/>
        <w:ind w:firstLine="480" w:firstLineChars="200"/>
        <w:jc w:val="left"/>
        <w:outlineLvl w:val="1"/>
        <w:rPr>
          <w:rFonts w:hint="eastAsia" w:ascii="宋体" w:hAnsi="宋体" w:cs="宋体"/>
          <w:sz w:val="24"/>
        </w:rPr>
      </w:pPr>
      <w:r>
        <w:rPr>
          <w:rFonts w:hint="eastAsia" w:ascii="宋体" w:hAnsi="宋体" w:cs="宋体"/>
          <w:sz w:val="24"/>
        </w:rPr>
        <w:t>5.2 交货地点：需求单位所在地。</w:t>
      </w:r>
      <w:bookmarkEnd w:id="146"/>
      <w:bookmarkEnd w:id="147"/>
      <w:bookmarkEnd w:id="148"/>
      <w:bookmarkEnd w:id="149"/>
      <w:bookmarkEnd w:id="150"/>
      <w:bookmarkEnd w:id="151"/>
      <w:bookmarkEnd w:id="152"/>
    </w:p>
    <w:p>
      <w:pPr>
        <w:spacing w:line="360" w:lineRule="auto"/>
        <w:ind w:firstLine="480" w:firstLineChars="200"/>
        <w:jc w:val="left"/>
        <w:outlineLvl w:val="1"/>
        <w:rPr>
          <w:rFonts w:hint="eastAsia" w:ascii="宋体" w:hAnsi="宋体" w:cs="宋体"/>
          <w:sz w:val="24"/>
        </w:rPr>
      </w:pPr>
      <w:bookmarkStart w:id="153" w:name="_Toc10922"/>
      <w:bookmarkStart w:id="154" w:name="_Toc22865"/>
      <w:bookmarkStart w:id="155" w:name="_Toc17246"/>
      <w:bookmarkStart w:id="156" w:name="_Toc13716"/>
      <w:bookmarkStart w:id="157" w:name="_Toc19581"/>
      <w:bookmarkStart w:id="158" w:name="_Toc18606"/>
      <w:bookmarkStart w:id="159" w:name="_Toc17273"/>
      <w:r>
        <w:rPr>
          <w:rFonts w:hint="eastAsia" w:ascii="宋体" w:hAnsi="宋体" w:cs="宋体"/>
          <w:sz w:val="24"/>
        </w:rPr>
        <w:t>5.3 运输及包装方式的要求：</w:t>
      </w:r>
      <w:bookmarkEnd w:id="153"/>
      <w:bookmarkEnd w:id="154"/>
      <w:bookmarkEnd w:id="155"/>
      <w:bookmarkEnd w:id="156"/>
      <w:bookmarkEnd w:id="157"/>
      <w:bookmarkEnd w:id="158"/>
      <w:bookmarkEnd w:id="159"/>
      <w:r>
        <w:rPr>
          <w:rFonts w:hint="eastAsia" w:ascii="宋体" w:hAnsi="宋体" w:cs="宋体"/>
          <w:sz w:val="24"/>
        </w:rPr>
        <w:t xml:space="preserve"> </w:t>
      </w:r>
    </w:p>
    <w:p>
      <w:pPr>
        <w:spacing w:line="360" w:lineRule="auto"/>
        <w:ind w:firstLine="480" w:firstLineChars="200"/>
        <w:jc w:val="left"/>
        <w:outlineLvl w:val="1"/>
        <w:rPr>
          <w:rFonts w:hint="eastAsia" w:ascii="宋体" w:hAnsi="宋体" w:cs="宋体"/>
          <w:sz w:val="24"/>
        </w:rPr>
      </w:pPr>
      <w:bookmarkStart w:id="160" w:name="_Toc17437"/>
      <w:bookmarkStart w:id="161" w:name="_Toc2556"/>
      <w:bookmarkStart w:id="162" w:name="_Toc4829"/>
      <w:bookmarkStart w:id="163" w:name="_Toc8852"/>
      <w:bookmarkStart w:id="164" w:name="_Toc14260"/>
      <w:bookmarkStart w:id="165" w:name="_Toc1616"/>
      <w:bookmarkStart w:id="166" w:name="_Toc24970"/>
      <w:r>
        <w:rPr>
          <w:rFonts w:hint="eastAsia" w:ascii="宋体" w:hAnsi="宋体" w:cs="宋体"/>
          <w:sz w:val="24"/>
        </w:rPr>
        <w:t>（1）货物抵达目的地后的检验要求：提供的产品为原装正品（含零部件、配件等），表面无划伤、无碰撞痕迹，且权属清楚，不得侵害他人的知识产权。各项指标符合检测标准和出厂标准，各项技术参数符合招标文件要求和投标文件承诺。</w:t>
      </w:r>
      <w:bookmarkEnd w:id="160"/>
      <w:bookmarkEnd w:id="161"/>
      <w:bookmarkEnd w:id="162"/>
      <w:bookmarkEnd w:id="163"/>
      <w:bookmarkEnd w:id="164"/>
      <w:bookmarkEnd w:id="165"/>
      <w:bookmarkEnd w:id="166"/>
    </w:p>
    <w:p>
      <w:pPr>
        <w:spacing w:line="360" w:lineRule="auto"/>
        <w:ind w:firstLine="480" w:firstLineChars="200"/>
        <w:jc w:val="left"/>
        <w:outlineLvl w:val="1"/>
        <w:rPr>
          <w:rFonts w:hint="eastAsia" w:ascii="宋体" w:hAnsi="宋体" w:cs="宋体"/>
          <w:sz w:val="24"/>
        </w:rPr>
      </w:pPr>
      <w:bookmarkStart w:id="167" w:name="_Toc21746"/>
      <w:bookmarkStart w:id="168" w:name="_Toc16104"/>
      <w:bookmarkStart w:id="169" w:name="_Toc20538"/>
      <w:bookmarkStart w:id="170" w:name="_Toc10625"/>
      <w:bookmarkStart w:id="171" w:name="_Toc31254"/>
      <w:bookmarkStart w:id="172" w:name="_Toc21134"/>
      <w:bookmarkStart w:id="173" w:name="_Toc31215"/>
      <w:r>
        <w:rPr>
          <w:rFonts w:hint="eastAsia" w:ascii="宋体" w:hAnsi="宋体" w:cs="宋体"/>
          <w:sz w:val="24"/>
        </w:rPr>
        <w:t>（2）随货物必须配备的技术文件清单：应将所提供货物的装箱清单、配件、随机工具、用户使用手册、原厂保修卡等资料交付给采购人。</w:t>
      </w:r>
      <w:bookmarkEnd w:id="167"/>
      <w:bookmarkEnd w:id="168"/>
      <w:bookmarkEnd w:id="169"/>
      <w:bookmarkEnd w:id="170"/>
      <w:bookmarkEnd w:id="171"/>
      <w:bookmarkEnd w:id="172"/>
      <w:bookmarkEnd w:id="173"/>
    </w:p>
    <w:p>
      <w:pPr>
        <w:spacing w:line="360" w:lineRule="auto"/>
        <w:ind w:firstLine="480" w:firstLineChars="200"/>
        <w:jc w:val="left"/>
        <w:outlineLvl w:val="1"/>
        <w:rPr>
          <w:rFonts w:hint="eastAsia" w:ascii="宋体" w:hAnsi="宋体" w:cs="宋体"/>
          <w:sz w:val="24"/>
        </w:rPr>
      </w:pPr>
      <w:bookmarkStart w:id="174" w:name="_Toc10716"/>
      <w:bookmarkStart w:id="175" w:name="_Toc7261"/>
      <w:bookmarkStart w:id="176" w:name="_Toc31652"/>
      <w:bookmarkStart w:id="177" w:name="_Toc1876"/>
      <w:bookmarkStart w:id="178" w:name="_Toc9043"/>
      <w:bookmarkStart w:id="179" w:name="_Toc23365"/>
      <w:r>
        <w:rPr>
          <w:rFonts w:hint="eastAsia" w:ascii="宋体" w:hAnsi="宋体" w:cs="宋体"/>
          <w:sz w:val="24"/>
        </w:rPr>
        <w:t>5.4 交货资料：型式试验合格的检验报告或自愿性产品认证证书。底盘合格证。</w:t>
      </w:r>
      <w:bookmarkEnd w:id="174"/>
      <w:bookmarkEnd w:id="175"/>
      <w:bookmarkEnd w:id="176"/>
      <w:bookmarkEnd w:id="177"/>
      <w:bookmarkEnd w:id="178"/>
      <w:bookmarkEnd w:id="179"/>
      <w:r>
        <w:rPr>
          <w:rFonts w:hint="eastAsia" w:ascii="宋体" w:hAnsi="宋体" w:cs="宋体"/>
          <w:sz w:val="24"/>
        </w:rPr>
        <w:t xml:space="preserve"> </w:t>
      </w:r>
    </w:p>
    <w:p>
      <w:pPr>
        <w:spacing w:line="360" w:lineRule="auto"/>
        <w:ind w:firstLine="480" w:firstLineChars="200"/>
        <w:jc w:val="left"/>
        <w:outlineLvl w:val="1"/>
        <w:rPr>
          <w:rFonts w:hint="eastAsia" w:ascii="宋体" w:hAnsi="宋体" w:cs="宋体"/>
          <w:sz w:val="24"/>
        </w:rPr>
      </w:pPr>
      <w:bookmarkStart w:id="180" w:name="_Toc32267"/>
      <w:bookmarkStart w:id="181" w:name="_Toc22234"/>
      <w:bookmarkStart w:id="182" w:name="_Toc25424"/>
      <w:bookmarkStart w:id="183" w:name="_Toc25025"/>
      <w:bookmarkStart w:id="184" w:name="_Toc25926"/>
      <w:bookmarkStart w:id="185" w:name="_Toc10805"/>
      <w:bookmarkStart w:id="186" w:name="_Toc19718"/>
      <w:r>
        <w:rPr>
          <w:rFonts w:hint="eastAsia" w:ascii="宋体" w:hAnsi="宋体" w:cs="宋体"/>
          <w:sz w:val="24"/>
        </w:rPr>
        <w:t>5.5 履约质量要求</w:t>
      </w:r>
      <w:bookmarkEnd w:id="180"/>
      <w:bookmarkEnd w:id="181"/>
      <w:bookmarkEnd w:id="182"/>
      <w:bookmarkEnd w:id="183"/>
      <w:bookmarkEnd w:id="184"/>
      <w:bookmarkEnd w:id="185"/>
      <w:bookmarkEnd w:id="186"/>
      <w:r>
        <w:rPr>
          <w:rFonts w:hint="eastAsia" w:ascii="宋体" w:hAnsi="宋体" w:cs="宋体"/>
          <w:sz w:val="24"/>
        </w:rPr>
        <w:t xml:space="preserve"> </w:t>
      </w:r>
    </w:p>
    <w:p>
      <w:pPr>
        <w:spacing w:line="360" w:lineRule="auto"/>
        <w:ind w:firstLine="480" w:firstLineChars="200"/>
        <w:jc w:val="left"/>
        <w:outlineLvl w:val="1"/>
        <w:rPr>
          <w:rFonts w:hint="eastAsia" w:ascii="宋体" w:hAnsi="宋体" w:cs="宋体"/>
          <w:sz w:val="24"/>
        </w:rPr>
      </w:pPr>
      <w:bookmarkStart w:id="187" w:name="_Toc15460"/>
      <w:bookmarkStart w:id="188" w:name="_Toc15582"/>
      <w:bookmarkStart w:id="189" w:name="_Toc25130"/>
      <w:bookmarkStart w:id="190" w:name="_Toc15278"/>
      <w:bookmarkStart w:id="191" w:name="_Toc15745"/>
      <w:bookmarkStart w:id="192" w:name="_Toc4294"/>
      <w:bookmarkStart w:id="193" w:name="_Toc22232"/>
      <w:r>
        <w:rPr>
          <w:rFonts w:hint="eastAsia" w:ascii="宋体" w:hAnsi="宋体" w:cs="宋体"/>
          <w:sz w:val="24"/>
        </w:rPr>
        <w:t>中标人提供质量、技术参数和性能（或功能）、售后服务等要求均完全满足上述采购清单中的各项要求的产品交货验收，且所提供的货物均为原厂原装全新正品，若投标产品高于招标文件技术要求，则以投标文件为依据交货验收；若交货时，提供的产品要求低于招标文件要求的，则投标人须在约定的履约期限内无条件换货，并且所换货物必须达到该采购项目要求，否则由此造成的采购人拒绝接收其货物（或产品）或依法终止合同（或解除合同）的损失自行承担，采购人有权追究其相关责任。</w:t>
      </w:r>
      <w:bookmarkEnd w:id="187"/>
      <w:bookmarkEnd w:id="188"/>
      <w:bookmarkEnd w:id="189"/>
      <w:bookmarkEnd w:id="190"/>
      <w:bookmarkEnd w:id="191"/>
      <w:bookmarkEnd w:id="192"/>
      <w:bookmarkEnd w:id="193"/>
    </w:p>
    <w:p>
      <w:pPr>
        <w:spacing w:line="360" w:lineRule="auto"/>
        <w:ind w:firstLine="480" w:firstLineChars="200"/>
        <w:jc w:val="left"/>
        <w:outlineLvl w:val="1"/>
        <w:rPr>
          <w:rFonts w:hint="eastAsia" w:ascii="宋体" w:hAnsi="宋体" w:cs="宋体"/>
          <w:sz w:val="24"/>
        </w:rPr>
      </w:pPr>
      <w:bookmarkStart w:id="194" w:name="_Toc29146"/>
      <w:bookmarkStart w:id="195" w:name="_Toc18282"/>
      <w:bookmarkStart w:id="196" w:name="_Toc14327"/>
      <w:bookmarkStart w:id="197" w:name="_Toc5707"/>
      <w:bookmarkStart w:id="198" w:name="_Toc14595"/>
      <w:bookmarkStart w:id="199" w:name="_Toc25626"/>
      <w:bookmarkStart w:id="200" w:name="_Toc17787"/>
      <w:r>
        <w:rPr>
          <w:rFonts w:hint="eastAsia" w:ascii="宋体" w:hAnsi="宋体" w:cs="宋体"/>
          <w:sz w:val="24"/>
        </w:rPr>
        <w:t>6.验收要求</w:t>
      </w:r>
      <w:bookmarkEnd w:id="194"/>
      <w:bookmarkEnd w:id="195"/>
      <w:bookmarkEnd w:id="196"/>
      <w:bookmarkEnd w:id="197"/>
      <w:bookmarkEnd w:id="198"/>
      <w:bookmarkEnd w:id="199"/>
      <w:bookmarkEnd w:id="200"/>
      <w:r>
        <w:rPr>
          <w:rFonts w:hint="eastAsia" w:ascii="宋体" w:hAnsi="宋体" w:cs="宋体"/>
          <w:sz w:val="24"/>
        </w:rPr>
        <w:t xml:space="preserve"> </w:t>
      </w:r>
    </w:p>
    <w:p>
      <w:pPr>
        <w:spacing w:line="360" w:lineRule="auto"/>
        <w:ind w:firstLine="480" w:firstLineChars="200"/>
        <w:jc w:val="left"/>
        <w:outlineLvl w:val="1"/>
        <w:rPr>
          <w:rFonts w:hint="eastAsia" w:ascii="宋体" w:hAnsi="宋体" w:cs="宋体"/>
          <w:sz w:val="24"/>
        </w:rPr>
      </w:pPr>
      <w:bookmarkStart w:id="201" w:name="_Toc17367"/>
      <w:bookmarkStart w:id="202" w:name="_Toc5088"/>
      <w:bookmarkStart w:id="203" w:name="_Toc12079"/>
      <w:bookmarkStart w:id="204" w:name="_Toc6633"/>
      <w:bookmarkStart w:id="205" w:name="_Toc15873"/>
      <w:bookmarkStart w:id="206" w:name="_Toc20588"/>
      <w:bookmarkStart w:id="207" w:name="_Toc18759"/>
      <w:r>
        <w:rPr>
          <w:rFonts w:hint="eastAsia" w:ascii="宋体" w:hAnsi="宋体" w:cs="宋体"/>
          <w:sz w:val="24"/>
        </w:rPr>
        <w:t>6.1 验收时间：中标人全部完成安装后 10 个工作日内进行验收。</w:t>
      </w:r>
      <w:bookmarkEnd w:id="201"/>
      <w:bookmarkEnd w:id="202"/>
      <w:bookmarkEnd w:id="203"/>
      <w:bookmarkEnd w:id="204"/>
      <w:bookmarkEnd w:id="205"/>
      <w:bookmarkEnd w:id="206"/>
      <w:bookmarkEnd w:id="207"/>
    </w:p>
    <w:p>
      <w:pPr>
        <w:spacing w:line="360" w:lineRule="auto"/>
        <w:ind w:firstLine="480" w:firstLineChars="200"/>
        <w:jc w:val="left"/>
        <w:outlineLvl w:val="1"/>
        <w:rPr>
          <w:rFonts w:hint="eastAsia" w:ascii="宋体" w:hAnsi="宋体" w:cs="宋体"/>
          <w:sz w:val="24"/>
        </w:rPr>
      </w:pPr>
      <w:bookmarkStart w:id="208" w:name="_Toc5538"/>
      <w:bookmarkStart w:id="209" w:name="_Toc26641"/>
      <w:bookmarkStart w:id="210" w:name="_Toc15814"/>
      <w:bookmarkStart w:id="211" w:name="_Toc4054"/>
      <w:bookmarkStart w:id="212" w:name="_Toc15976"/>
      <w:bookmarkStart w:id="213" w:name="_Toc265"/>
      <w:bookmarkStart w:id="214" w:name="_Toc31132"/>
      <w:r>
        <w:rPr>
          <w:rFonts w:hint="eastAsia" w:ascii="宋体" w:hAnsi="宋体" w:cs="宋体"/>
          <w:sz w:val="24"/>
        </w:rPr>
        <w:t>6.2 验收方式：按照《财政部关于进一步加强政府采购需求和履约验收管理的指导意见》（财库〔2016〕205 号）文件要求，由采购人成立专家验收小组组织集中验收，中标人提供投标产品所对应的相应全套资料，以证明投标产品为全新正品且合法流通，包括但不限于投标产品检验报告、合格证、使用说明书（纸质及电子档）、技术规格书等，以备验收人员组织验收。若中标人未按照规定提供上述资料的，影响验收实施的，由此造成的损失由中标人承担。</w:t>
      </w:r>
      <w:bookmarkEnd w:id="208"/>
      <w:bookmarkEnd w:id="209"/>
      <w:bookmarkEnd w:id="210"/>
      <w:bookmarkEnd w:id="211"/>
      <w:bookmarkEnd w:id="212"/>
      <w:bookmarkEnd w:id="213"/>
      <w:bookmarkEnd w:id="214"/>
    </w:p>
    <w:p>
      <w:pPr>
        <w:spacing w:line="360" w:lineRule="auto"/>
        <w:ind w:firstLine="480" w:firstLineChars="200"/>
        <w:jc w:val="left"/>
        <w:outlineLvl w:val="1"/>
        <w:rPr>
          <w:rFonts w:hint="eastAsia" w:ascii="宋体" w:hAnsi="宋体" w:cs="宋体"/>
          <w:sz w:val="24"/>
        </w:rPr>
      </w:pPr>
      <w:bookmarkStart w:id="215" w:name="_Toc304"/>
      <w:bookmarkStart w:id="216" w:name="_Toc29453"/>
      <w:bookmarkStart w:id="217" w:name="_Toc7498"/>
      <w:bookmarkStart w:id="218" w:name="_Toc4415"/>
      <w:bookmarkStart w:id="219" w:name="_Toc32026"/>
      <w:bookmarkStart w:id="220" w:name="_Toc4216"/>
      <w:bookmarkStart w:id="221" w:name="_Toc19825"/>
      <w:r>
        <w:rPr>
          <w:rFonts w:hint="eastAsia" w:ascii="宋体" w:hAnsi="宋体" w:cs="宋体"/>
          <w:sz w:val="24"/>
        </w:rPr>
        <w:t>6.3 验收标准：按国家有关规定以及采购方招标文件的质量要求和技术指标、中标人的投标文件与本合同约定标准进行验收。</w:t>
      </w:r>
      <w:bookmarkEnd w:id="215"/>
      <w:bookmarkEnd w:id="216"/>
      <w:bookmarkEnd w:id="217"/>
      <w:bookmarkEnd w:id="218"/>
      <w:bookmarkEnd w:id="219"/>
      <w:bookmarkEnd w:id="220"/>
      <w:bookmarkEnd w:id="221"/>
      <w:r>
        <w:rPr>
          <w:rFonts w:hint="eastAsia" w:ascii="宋体" w:hAnsi="宋体" w:cs="宋体"/>
          <w:sz w:val="24"/>
        </w:rPr>
        <w:t xml:space="preserve"> </w:t>
      </w:r>
    </w:p>
    <w:p>
      <w:pPr>
        <w:spacing w:line="360" w:lineRule="auto"/>
        <w:ind w:firstLine="480" w:firstLineChars="200"/>
        <w:jc w:val="left"/>
        <w:outlineLvl w:val="1"/>
        <w:rPr>
          <w:rFonts w:hint="eastAsia" w:ascii="宋体" w:hAnsi="宋体" w:cs="宋体"/>
          <w:sz w:val="24"/>
        </w:rPr>
      </w:pPr>
      <w:bookmarkStart w:id="222" w:name="_Toc17965"/>
      <w:bookmarkStart w:id="223" w:name="_Toc7749"/>
      <w:bookmarkStart w:id="224" w:name="_Toc14552"/>
      <w:bookmarkStart w:id="225" w:name="_Toc26446"/>
      <w:bookmarkStart w:id="226" w:name="_Toc643"/>
      <w:bookmarkStart w:id="227" w:name="_Toc10758"/>
      <w:r>
        <w:rPr>
          <w:rFonts w:hint="eastAsia" w:ascii="宋体" w:hAnsi="宋体" w:cs="宋体"/>
          <w:sz w:val="24"/>
        </w:rPr>
        <w:t>双方如对质量要求和技术指标的约定标准有相互抵触或异议的事项，由采购人在采购文件与投标文件中按质量要求和技术指标比较优胜的原则确定该项的约定标准进行验收。</w:t>
      </w:r>
      <w:bookmarkEnd w:id="222"/>
      <w:bookmarkEnd w:id="223"/>
      <w:bookmarkEnd w:id="224"/>
      <w:bookmarkEnd w:id="225"/>
      <w:bookmarkEnd w:id="226"/>
      <w:bookmarkEnd w:id="227"/>
    </w:p>
    <w:p>
      <w:pPr>
        <w:spacing w:line="360" w:lineRule="auto"/>
        <w:ind w:firstLine="480" w:firstLineChars="200"/>
        <w:jc w:val="left"/>
        <w:outlineLvl w:val="1"/>
        <w:rPr>
          <w:rFonts w:hint="eastAsia" w:ascii="宋体" w:hAnsi="宋体" w:cs="宋体"/>
          <w:sz w:val="24"/>
        </w:rPr>
      </w:pPr>
      <w:bookmarkStart w:id="228" w:name="_Toc23053"/>
      <w:bookmarkStart w:id="229" w:name="_Toc22587"/>
      <w:bookmarkStart w:id="230" w:name="_Toc31048"/>
      <w:bookmarkStart w:id="231" w:name="_Toc10927"/>
      <w:bookmarkStart w:id="232" w:name="_Toc24212"/>
      <w:bookmarkStart w:id="233" w:name="_Toc30835"/>
      <w:bookmarkStart w:id="234" w:name="_Toc19692"/>
      <w:r>
        <w:rPr>
          <w:rFonts w:hint="eastAsia" w:ascii="宋体" w:hAnsi="宋体" w:cs="宋体"/>
          <w:sz w:val="24"/>
        </w:rPr>
        <w:t>验收时如发现所交付的货物有短装、次品、损坏或其它不符合标准及合同规定之情形者，采购人应做出详尽的现场记录，或由双方签署备忘录，此现场记录或备忘录可用作补充、缺失和更换损坏部件的有效证据，由此产生的时间延误与有关费用由投标人承担，验收期限相应顺延。</w:t>
      </w:r>
      <w:bookmarkEnd w:id="228"/>
      <w:bookmarkEnd w:id="229"/>
      <w:bookmarkEnd w:id="230"/>
      <w:bookmarkEnd w:id="231"/>
      <w:bookmarkEnd w:id="232"/>
      <w:bookmarkEnd w:id="233"/>
      <w:bookmarkEnd w:id="234"/>
    </w:p>
    <w:p>
      <w:pPr>
        <w:spacing w:line="360" w:lineRule="auto"/>
        <w:ind w:firstLine="480" w:firstLineChars="200"/>
        <w:jc w:val="left"/>
        <w:outlineLvl w:val="1"/>
        <w:rPr>
          <w:rFonts w:hint="eastAsia" w:ascii="宋体" w:hAnsi="宋体" w:cs="宋体"/>
          <w:sz w:val="24"/>
        </w:rPr>
      </w:pPr>
      <w:bookmarkStart w:id="235" w:name="_Toc17999"/>
      <w:bookmarkStart w:id="236" w:name="_Toc8583"/>
      <w:bookmarkStart w:id="237" w:name="_Toc7503"/>
      <w:bookmarkStart w:id="238" w:name="_Toc16245"/>
      <w:bookmarkStart w:id="239" w:name="_Toc14975"/>
      <w:bookmarkStart w:id="240" w:name="_Toc8399"/>
      <w:bookmarkStart w:id="241" w:name="_Toc5175"/>
      <w:r>
        <w:rPr>
          <w:rFonts w:hint="eastAsia" w:ascii="宋体" w:hAnsi="宋体" w:cs="宋体"/>
          <w:sz w:val="24"/>
        </w:rPr>
        <w:t>6.4 验收程序：</w:t>
      </w:r>
      <w:bookmarkEnd w:id="235"/>
      <w:bookmarkEnd w:id="236"/>
      <w:bookmarkEnd w:id="237"/>
      <w:bookmarkEnd w:id="238"/>
      <w:bookmarkEnd w:id="239"/>
      <w:bookmarkEnd w:id="240"/>
      <w:bookmarkEnd w:id="241"/>
      <w:r>
        <w:rPr>
          <w:rFonts w:hint="eastAsia" w:ascii="宋体" w:hAnsi="宋体" w:cs="宋体"/>
          <w:sz w:val="24"/>
        </w:rPr>
        <w:t xml:space="preserve"> </w:t>
      </w:r>
    </w:p>
    <w:p>
      <w:pPr>
        <w:spacing w:line="360" w:lineRule="auto"/>
        <w:ind w:firstLine="480" w:firstLineChars="200"/>
        <w:jc w:val="left"/>
        <w:outlineLvl w:val="1"/>
        <w:rPr>
          <w:rFonts w:hint="eastAsia" w:ascii="宋体" w:hAnsi="宋体" w:cs="宋体"/>
          <w:sz w:val="24"/>
        </w:rPr>
      </w:pPr>
      <w:bookmarkStart w:id="242" w:name="_Toc25312"/>
      <w:bookmarkStart w:id="243" w:name="_Toc25297"/>
      <w:bookmarkStart w:id="244" w:name="_Toc27222"/>
      <w:bookmarkStart w:id="245" w:name="_Toc16473"/>
      <w:bookmarkStart w:id="246" w:name="_Toc7393"/>
      <w:bookmarkStart w:id="247" w:name="_Toc29930"/>
      <w:bookmarkStart w:id="248" w:name="_Toc22869"/>
      <w:r>
        <w:rPr>
          <w:rFonts w:hint="eastAsia" w:ascii="宋体" w:hAnsi="宋体" w:cs="宋体"/>
          <w:sz w:val="24"/>
        </w:rPr>
        <w:t>严格按照政府采购相关法律法规以及《财政部关于进一步加强政府采购需求和履约验收管理的指导意见》（财库〔2016〕205 号）的要求进行验收。采购人应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验收结果与采购合同约定的资金支付及履约保证金返还条件挂钩。履约验收的各项资料应存档备查。</w:t>
      </w:r>
      <w:bookmarkEnd w:id="242"/>
      <w:bookmarkEnd w:id="243"/>
      <w:bookmarkEnd w:id="244"/>
      <w:bookmarkEnd w:id="245"/>
      <w:bookmarkEnd w:id="246"/>
      <w:bookmarkEnd w:id="247"/>
      <w:bookmarkEnd w:id="248"/>
    </w:p>
    <w:p>
      <w:pPr>
        <w:spacing w:line="360" w:lineRule="exact"/>
        <w:rPr>
          <w:rFonts w:hint="eastAsia" w:ascii="宋体" w:hAnsi="宋体" w:cs="宋体"/>
          <w:color w:val="000000"/>
          <w:sz w:val="24"/>
        </w:rPr>
      </w:pPr>
      <w:r>
        <w:rPr>
          <w:rFonts w:hint="eastAsia" w:ascii="宋体" w:hAnsi="宋体" w:cs="宋体"/>
          <w:color w:val="000000"/>
          <w:sz w:val="24"/>
        </w:rPr>
        <w:t>7、根据信通部门要求，全省消防救援队伍消防车辆还应安装以下通信及安防设备：</w:t>
      </w:r>
    </w:p>
    <w:p>
      <w:pPr>
        <w:spacing w:line="360" w:lineRule="exact"/>
        <w:ind w:firstLine="241" w:firstLineChars="100"/>
        <w:rPr>
          <w:rFonts w:hint="eastAsia" w:ascii="宋体" w:hAnsi="宋体" w:cs="宋体"/>
          <w:b/>
          <w:color w:val="000000"/>
          <w:sz w:val="24"/>
        </w:rPr>
      </w:pPr>
      <w:r>
        <w:rPr>
          <w:rFonts w:hint="eastAsia" w:ascii="宋体" w:hAnsi="宋体" w:cs="宋体"/>
          <w:b/>
          <w:color w:val="000000"/>
          <w:sz w:val="24"/>
        </w:rPr>
        <w:t>（1）北斗车辆定位终端设备，确保接入应急管理部消防救援局和四川省消防救援总队北斗定位平台；</w:t>
      </w:r>
    </w:p>
    <w:p>
      <w:pPr>
        <w:spacing w:line="360" w:lineRule="exact"/>
        <w:ind w:firstLine="120" w:firstLineChars="50"/>
        <w:rPr>
          <w:rFonts w:hint="eastAsia" w:ascii="宋体" w:hAnsi="宋体" w:cs="宋体"/>
          <w:b/>
          <w:color w:val="000000"/>
          <w:sz w:val="24"/>
        </w:rPr>
      </w:pPr>
      <w:r>
        <w:rPr>
          <w:rFonts w:hint="eastAsia" w:ascii="宋体" w:hAnsi="宋体" w:cs="宋体"/>
          <w:b/>
          <w:color w:val="000000"/>
          <w:sz w:val="24"/>
        </w:rPr>
        <w:t>（2）350兆/370兆数模兼容车载台（成都为800兆的车载台）；</w:t>
      </w:r>
    </w:p>
    <w:p>
      <w:pPr>
        <w:spacing w:line="360" w:lineRule="exact"/>
        <w:ind w:firstLine="120" w:firstLineChars="50"/>
        <w:rPr>
          <w:rFonts w:hint="eastAsia" w:ascii="宋体" w:hAnsi="宋体" w:cs="宋体"/>
          <w:b/>
          <w:bCs/>
          <w:color w:val="000000"/>
          <w:sz w:val="24"/>
        </w:rPr>
      </w:pPr>
      <w:r>
        <w:rPr>
          <w:rFonts w:hint="eastAsia" w:ascii="宋体" w:hAnsi="宋体" w:cs="宋体"/>
          <w:b/>
          <w:color w:val="000000"/>
          <w:sz w:val="24"/>
        </w:rPr>
        <w:t>（3）行车记录仪和360度倒车影像系统等。</w:t>
      </w:r>
    </w:p>
    <w:p>
      <w:pPr>
        <w:spacing w:line="360" w:lineRule="auto"/>
        <w:ind w:firstLine="482" w:firstLineChars="200"/>
        <w:jc w:val="left"/>
        <w:outlineLvl w:val="1"/>
        <w:rPr>
          <w:rFonts w:hint="eastAsia" w:ascii="宋体" w:hAnsi="宋体" w:cs="宋体"/>
          <w:sz w:val="24"/>
        </w:rPr>
      </w:pPr>
      <w:r>
        <w:rPr>
          <w:rFonts w:hint="eastAsia" w:ascii="宋体" w:hAnsi="宋体" w:cs="宋体"/>
          <w:b/>
          <w:bCs/>
          <w:color w:val="000000"/>
          <w:sz w:val="24"/>
        </w:rPr>
        <w:t>注：</w:t>
      </w:r>
      <w:bookmarkStart w:id="249" w:name="_Toc3370"/>
      <w:bookmarkStart w:id="250" w:name="_Toc19202"/>
      <w:bookmarkStart w:id="251" w:name="_Toc844"/>
      <w:r>
        <w:rPr>
          <w:rFonts w:hint="eastAsia" w:ascii="宋体" w:hAnsi="宋体" w:cs="宋体"/>
          <w:sz w:val="24"/>
        </w:rPr>
        <w:t>(1)招标文件要求提供相关证明材料的，应按招标文件要求提供相关证明材料支撑，证明材料可以用复印件或者扫描件须加盖投标人公章。</w:t>
      </w:r>
      <w:bookmarkEnd w:id="249"/>
      <w:bookmarkEnd w:id="250"/>
      <w:bookmarkEnd w:id="251"/>
      <w:bookmarkStart w:id="252" w:name="_Toc5022"/>
    </w:p>
    <w:p>
      <w:pPr>
        <w:spacing w:line="360" w:lineRule="auto"/>
        <w:ind w:firstLine="480" w:firstLineChars="200"/>
        <w:jc w:val="left"/>
        <w:outlineLvl w:val="1"/>
        <w:rPr>
          <w:rFonts w:hint="eastAsia" w:ascii="宋体" w:hAnsi="宋体" w:cs="宋体"/>
          <w:sz w:val="24"/>
        </w:rPr>
      </w:pPr>
      <w:bookmarkStart w:id="253" w:name="_Toc1508"/>
      <w:bookmarkStart w:id="254" w:name="_Toc18561"/>
      <w:bookmarkStart w:id="255" w:name="_Toc32634"/>
      <w:r>
        <w:rPr>
          <w:rFonts w:hint="eastAsia" w:ascii="宋体" w:hAnsi="宋体" w:cs="宋体"/>
          <w:sz w:val="24"/>
        </w:rPr>
        <w:t>（2）“★”项为实质性要求，不允许负偏离。</w:t>
      </w:r>
      <w:bookmarkEnd w:id="252"/>
      <w:bookmarkEnd w:id="253"/>
      <w:bookmarkEnd w:id="254"/>
      <w:bookmarkEnd w:id="255"/>
      <w:bookmarkStart w:id="256" w:name="_Toc5338"/>
    </w:p>
    <w:p>
      <w:pPr>
        <w:spacing w:line="360" w:lineRule="auto"/>
        <w:ind w:firstLine="480" w:firstLineChars="200"/>
        <w:jc w:val="left"/>
        <w:outlineLvl w:val="1"/>
        <w:rPr>
          <w:rFonts w:hint="eastAsia" w:ascii="宋体" w:hAnsi="宋体" w:cs="宋体"/>
          <w:sz w:val="24"/>
        </w:rPr>
      </w:pPr>
      <w:bookmarkStart w:id="257" w:name="_Toc8008"/>
      <w:bookmarkStart w:id="258" w:name="_Toc5045"/>
      <w:bookmarkStart w:id="259" w:name="_Toc31381"/>
      <w:r>
        <w:rPr>
          <w:rFonts w:hint="eastAsia" w:ascii="宋体" w:hAnsi="宋体" w:cs="宋体"/>
          <w:sz w:val="24"/>
        </w:rPr>
        <w:t>（3）“▲”项为重要参数，招标文件有要求的需按照招标文件要求提供相应证明材料，招标文件没有要求的，</w:t>
      </w:r>
      <w:bookmarkEnd w:id="256"/>
      <w:bookmarkEnd w:id="257"/>
      <w:bookmarkEnd w:id="258"/>
      <w:bookmarkEnd w:id="259"/>
      <w:bookmarkStart w:id="260" w:name="_Toc1262"/>
      <w:r>
        <w:rPr>
          <w:rFonts w:hint="eastAsia" w:ascii="宋体" w:hAnsi="宋体" w:cs="宋体"/>
          <w:sz w:val="24"/>
        </w:rPr>
        <w:t>“▲”项为重要参数，技术参数中有要求提供证明材料的按技术要求执行，没有要求的则需提供包括但不限于检测报告、技术规格书、产品说明书等。无技术证明材料支撑或相应与技术证明材料不一致的指标项，不得分。</w:t>
      </w:r>
    </w:p>
    <w:p>
      <w:pPr>
        <w:spacing w:line="360" w:lineRule="auto"/>
        <w:ind w:firstLine="480" w:firstLineChars="200"/>
        <w:jc w:val="left"/>
        <w:outlineLvl w:val="1"/>
        <w:rPr>
          <w:rFonts w:hint="eastAsia" w:ascii="宋体" w:hAnsi="宋体" w:cs="宋体"/>
          <w:b/>
          <w:bCs/>
          <w:color w:val="000000"/>
          <w:sz w:val="24"/>
        </w:rPr>
      </w:pPr>
      <w:bookmarkStart w:id="261" w:name="_Toc5273"/>
      <w:bookmarkStart w:id="262" w:name="_Toc3631"/>
      <w:bookmarkStart w:id="263" w:name="_Toc22990"/>
      <w:r>
        <w:rPr>
          <w:rFonts w:hint="eastAsia" w:ascii="宋体" w:hAnsi="宋体" w:cs="宋体"/>
          <w:sz w:val="24"/>
        </w:rPr>
        <w:t>（4）对于非“▲”项技术参数的认定：若相关检验（检测）报告中有该条参数的，以检验（检测）报告为准；若检验（检测）报告中无该条参数，但产品技术白皮书或彩页资料有的，以技术白皮书或彩页资料为准；若以上几项均无的，以投标人的响应为准。</w:t>
      </w:r>
      <w:bookmarkEnd w:id="260"/>
      <w:bookmarkEnd w:id="261"/>
      <w:bookmarkEnd w:id="262"/>
      <w:bookmarkEnd w:id="26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7"/>
      <w:suff w:val="nothing"/>
      <w:lvlText w:val="%2、"/>
      <w:lvlJc w:val="left"/>
      <w:pPr>
        <w:ind w:left="0" w:firstLine="0"/>
      </w:pPr>
      <w:rPr>
        <w:rFonts w:hint="eastAsia" w:ascii="宋体" w:hAnsi="宋体" w:eastAsia="宋体" w:cs="宋体"/>
      </w:rPr>
    </w:lvl>
    <w:lvl w:ilvl="2" w:tentative="0">
      <w:start w:val="1"/>
      <w:numFmt w:val="chineseCounting"/>
      <w:pStyle w:val="9"/>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1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character" w:customStyle="1" w:styleId="6">
    <w:name w:val="无"/>
    <w:qFormat/>
    <w:uiPriority w:val="0"/>
  </w:style>
  <w:style w:type="paragraph" w:customStyle="1" w:styleId="7">
    <w:name w:val="15、“一、”二级标题"/>
    <w:basedOn w:val="1"/>
    <w:qFormat/>
    <w:uiPriority w:val="0"/>
    <w:pPr>
      <w:numPr>
        <w:ilvl w:val="1"/>
        <w:numId w:val="1"/>
      </w:numPr>
      <w:tabs>
        <w:tab w:val="left" w:pos="0"/>
      </w:tabs>
      <w:wordWrap w:val="0"/>
      <w:topLinePunct/>
      <w:ind w:firstLine="803" w:firstLineChars="200"/>
      <w:outlineLvl w:val="1"/>
    </w:pPr>
    <w:rPr>
      <w:rFonts w:ascii="宋体" w:hAnsi="宋体" w:eastAsia="宋体"/>
      <w:b/>
    </w:rPr>
  </w:style>
  <w:style w:type="paragraph" w:customStyle="1" w:styleId="8">
    <w:name w:val="样式 首行缩进:  2 字符"/>
    <w:basedOn w:val="1"/>
    <w:qFormat/>
    <w:uiPriority w:val="0"/>
    <w:pPr>
      <w:spacing w:line="400" w:lineRule="exact"/>
      <w:ind w:firstLine="200" w:firstLineChars="200"/>
    </w:pPr>
    <w:rPr>
      <w:rFonts w:ascii="宋体" w:cs="宋体"/>
      <w:kern w:val="0"/>
      <w:sz w:val="24"/>
    </w:rPr>
  </w:style>
  <w:style w:type="paragraph" w:customStyle="1" w:styleId="9">
    <w:name w:val="16、“(一)”三级标题"/>
    <w:basedOn w:val="10"/>
    <w:qFormat/>
    <w:uiPriority w:val="0"/>
    <w:pPr>
      <w:numPr>
        <w:ilvl w:val="2"/>
        <w:numId w:val="1"/>
      </w:numPr>
      <w:outlineLvl w:val="2"/>
    </w:pPr>
    <w:rPr>
      <w:rFonts w:ascii="宋体" w:hAnsi="宋体" w:eastAsia="宋体"/>
      <w:b/>
    </w:rPr>
  </w:style>
  <w:style w:type="paragraph" w:customStyle="1" w:styleId="10">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2022-01-11T08:02:32Z</dcterms:created>
  <dc:creator>ROG</dc:creator>
  <cp:lastModifiedBy>圈圈</cp:lastModifiedBy>
  <dcterms:modified xsi:type="dcterms:W3CDTF">2022-01-11T08:02:43Z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8F8194FD1ADA442D94ADE353709A9F51</vt:lpwstr>
  </property>
</Properties>
</file>