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numPr>
          <w:ilvl w:val="0"/>
          <w:numId w:val="0"/>
        </w:numPr>
        <w:tabs>
          <w:tab w:val="left" w:pos="425"/>
        </w:tabs>
        <w:spacing w:after="0" w:line="360" w:lineRule="auto"/>
        <w:ind w:leftChars="0"/>
        <w:jc w:val="center"/>
        <w:rPr>
          <w:sz w:val="32"/>
          <w:szCs w:val="32"/>
        </w:rPr>
      </w:pPr>
      <w:bookmarkStart w:id="0" w:name="_Toc26854"/>
      <w:bookmarkStart w:id="1" w:name="_Toc10087"/>
      <w:bookmarkStart w:id="2" w:name="_Toc23476"/>
      <w:bookmarkStart w:id="3" w:name="_Toc28835"/>
      <w:bookmarkStart w:id="4" w:name="_Toc17764"/>
      <w:bookmarkStart w:id="5" w:name="_Toc32029"/>
      <w:r>
        <w:rPr>
          <w:rFonts w:ascii="Times New Roman" w:hAnsi="宋体" w:eastAsia="宋体" w:cs="Times New Roman"/>
          <w:b/>
          <w:bCs/>
          <w:sz w:val="32"/>
          <w:szCs w:val="32"/>
        </w:rPr>
        <w:t>招</w:t>
      </w:r>
      <w:r>
        <w:rPr>
          <w:rFonts w:hAnsi="宋体"/>
          <w:sz w:val="32"/>
          <w:szCs w:val="32"/>
        </w:rPr>
        <w:t>标项目技术、商务及其他要求</w:t>
      </w:r>
      <w:bookmarkEnd w:id="0"/>
      <w:bookmarkEnd w:id="1"/>
      <w:bookmarkEnd w:id="2"/>
      <w:bookmarkEnd w:id="3"/>
      <w:bookmarkEnd w:id="4"/>
      <w:bookmarkEnd w:id="5"/>
    </w:p>
    <w:p>
      <w:pPr>
        <w:spacing w:line="360" w:lineRule="auto"/>
        <w:ind w:firstLine="482" w:firstLineChars="200"/>
        <w:rPr>
          <w:rStyle w:val="6"/>
          <w:rFonts w:ascii="宋体" w:hAnsi="宋体" w:cs="宋体"/>
          <w:b/>
          <w:bCs/>
          <w:kern w:val="0"/>
          <w:sz w:val="24"/>
          <w:lang w:eastAsia="zh-TW"/>
        </w:rPr>
      </w:pPr>
      <w:r>
        <w:rPr>
          <w:rStyle w:val="6"/>
          <w:rFonts w:ascii="宋体" w:hAnsi="宋体" w:cs="宋体"/>
          <w:b/>
          <w:bCs/>
          <w:kern w:val="0"/>
          <w:sz w:val="24"/>
          <w:lang w:eastAsia="zh-TW"/>
        </w:rPr>
        <w:t>特别说明：</w:t>
      </w:r>
    </w:p>
    <w:p>
      <w:pPr>
        <w:spacing w:line="360" w:lineRule="auto"/>
        <w:ind w:firstLine="482" w:firstLineChars="200"/>
        <w:rPr>
          <w:rStyle w:val="6"/>
          <w:rFonts w:ascii="宋体" w:hAnsi="宋体" w:cs="宋体"/>
          <w:b/>
          <w:bCs/>
          <w:kern w:val="0"/>
          <w:sz w:val="24"/>
          <w:lang w:eastAsia="zh-TW"/>
        </w:rPr>
      </w:pPr>
      <w:r>
        <w:rPr>
          <w:rStyle w:val="6"/>
          <w:rFonts w:ascii="宋体" w:hAnsi="宋体" w:cs="宋体"/>
          <w:b/>
          <w:bCs/>
          <w:kern w:val="0"/>
          <w:sz w:val="24"/>
          <w:lang w:eastAsia="zh-TW"/>
        </w:rPr>
        <w:t>1</w:t>
      </w:r>
      <w:r>
        <w:rPr>
          <w:rStyle w:val="6"/>
          <w:rFonts w:hint="eastAsia" w:ascii="宋体" w:hAnsi="宋体" w:cs="宋体"/>
          <w:b/>
          <w:bCs/>
          <w:kern w:val="0"/>
          <w:sz w:val="24"/>
          <w:lang w:eastAsia="zh-TW"/>
        </w:rPr>
        <w:t>、</w:t>
      </w:r>
      <w:r>
        <w:rPr>
          <w:rStyle w:val="6"/>
          <w:rFonts w:ascii="宋体" w:hAnsi="宋体" w:cs="宋体"/>
          <w:b/>
          <w:bCs/>
          <w:kern w:val="0"/>
          <w:sz w:val="24"/>
          <w:lang w:eastAsia="zh-TW"/>
        </w:rPr>
        <w:t>2020年8月25</w:t>
      </w:r>
      <w:r>
        <w:rPr>
          <w:rStyle w:val="6"/>
          <w:rFonts w:hint="eastAsia" w:ascii="宋体" w:hAnsi="宋体" w:cs="宋体"/>
          <w:b/>
          <w:bCs/>
          <w:kern w:val="0"/>
          <w:sz w:val="24"/>
          <w:lang w:eastAsia="zh-TW"/>
        </w:rPr>
        <w:t>日</w:t>
      </w:r>
      <w:r>
        <w:rPr>
          <w:rStyle w:val="6"/>
          <w:rFonts w:ascii="宋体" w:hAnsi="宋体" w:cs="宋体"/>
          <w:b/>
          <w:bCs/>
          <w:kern w:val="0"/>
          <w:sz w:val="24"/>
          <w:lang w:eastAsia="zh-TW"/>
        </w:rPr>
        <w:t xml:space="preserve">，中华人民共和国应急管理部《关于消防救援领域行业标准以“XF”代号重新编号发布的公告》（2020年 第5号）明确，消防救援领域165项现行行业标准类别由公安安全行业标准调整为消防救援行业标准，代号由“GA”调整为“XF”，顺序号和内容保持不变。 </w:t>
      </w:r>
    </w:p>
    <w:p>
      <w:pPr>
        <w:spacing w:line="360" w:lineRule="auto"/>
        <w:ind w:firstLine="482" w:firstLineChars="200"/>
        <w:rPr>
          <w:rStyle w:val="6"/>
          <w:rFonts w:hint="eastAsia" w:ascii="宋体" w:hAnsi="宋体" w:cs="宋体"/>
          <w:b/>
          <w:bCs/>
          <w:kern w:val="0"/>
          <w:sz w:val="24"/>
        </w:rPr>
      </w:pPr>
      <w:r>
        <w:rPr>
          <w:rStyle w:val="6"/>
          <w:rFonts w:ascii="宋体" w:hAnsi="宋体" w:cs="宋体"/>
          <w:b/>
          <w:bCs/>
          <w:kern w:val="0"/>
          <w:sz w:val="24"/>
          <w:lang w:eastAsia="zh-TW"/>
        </w:rPr>
        <w:t>2、为了落实公告要求，采购人将技术参数中的标准代号调整为XF。目前，参考资料、检测报告等相关资料，在实际投标中，使用代号GA标准仍有效。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样品要求：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1.投标人须按照技术参数要求提供样品。</w:t>
      </w:r>
    </w:p>
    <w:p>
      <w:pPr>
        <w:tabs>
          <w:tab w:val="left" w:pos="312"/>
        </w:tabs>
        <w:spacing w:line="360" w:lineRule="auto"/>
        <w:ind w:firstLine="480" w:firstLineChars="200"/>
        <w:rPr>
          <w:rFonts w:hint="eastAsia"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2.投标人的样品制作、搬运、损耗等相关费用由投标人承担。</w:t>
      </w:r>
    </w:p>
    <w:p>
      <w:pPr>
        <w:pStyle w:val="2"/>
        <w:spacing w:after="0" w:line="360" w:lineRule="auto"/>
        <w:ind w:firstLine="480" w:firstLineChars="200"/>
        <w:rPr>
          <w:rFonts w:hint="eastAsia"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3.样品递交截止时间详见招标文件约定的递交截止时间，否则不予接收。</w:t>
      </w:r>
    </w:p>
    <w:p>
      <w:pPr>
        <w:spacing w:line="360" w:lineRule="auto"/>
        <w:ind w:firstLine="482" w:firstLineChars="200"/>
      </w:pPr>
      <w:r>
        <w:rPr>
          <w:rFonts w:hint="eastAsia" w:ascii="宋体" w:hAnsi="宋体" w:cs="宋体"/>
          <w:b/>
          <w:sz w:val="24"/>
          <w:szCs w:val="24"/>
        </w:rPr>
        <w:t>4.投标人递交样品时，需随投标样品提供样品清单（详见第九章附件），需写明样品明细，包括样品所属包号、样品名称，注明投标人名称。</w:t>
      </w:r>
    </w:p>
    <w:p>
      <w:pPr>
        <w:spacing w:line="360" w:lineRule="auto"/>
        <w:ind w:firstLine="482" w:firstLineChars="200"/>
        <w:rPr>
          <w:rFonts w:hint="eastAsia"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5.本项目样品评审采用“盲样”，即投标样品中不能出现生产厂商的文字、logo、图文等信息，必须由投标人自行进行粘贴覆盖。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6.未中标人提供的样品在项目质疑投诉期结束后，并接到代理机构工作人员通知后可自行处理封样样品。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7.中标人提供的样品由采购人保管，在验收完成后退还。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8.样品移交、退还时，投标人按代理机构工作人员指定的时间、地点办理退还，因样品逾期未撤离而产生的废品处置费，由投标人承担。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9.中标人提供的样品将作为项目验收依据的一部分，中标人最终提供的货物外观质量、制作工艺等不得低于样品的相关标准,且完全满足合同约定对货物的要求和标准。</w:t>
      </w:r>
    </w:p>
    <w:p>
      <w:pPr>
        <w:spacing w:line="360" w:lineRule="auto"/>
        <w:ind w:firstLine="482" w:firstLineChars="200"/>
        <w:rPr>
          <w:rFonts w:hint="eastAsia"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10.样品提交时间及样品提交地点：详见第一章。</w:t>
      </w:r>
    </w:p>
    <w:p>
      <w:pPr>
        <w:spacing w:line="360" w:lineRule="auto"/>
        <w:rPr>
          <w:b/>
          <w:bCs/>
          <w:sz w:val="24"/>
          <w:szCs w:val="24"/>
        </w:rPr>
      </w:pPr>
      <w:r>
        <w:rPr>
          <w:rFonts w:hAnsi="宋体"/>
          <w:b/>
          <w:bCs/>
          <w:sz w:val="24"/>
          <w:szCs w:val="24"/>
        </w:rPr>
        <w:t>一、技术参数及要求</w:t>
      </w:r>
    </w:p>
    <w:tbl>
      <w:tblPr>
        <w:tblStyle w:val="4"/>
        <w:tblW w:w="9894" w:type="dxa"/>
        <w:tblInd w:w="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756"/>
        <w:gridCol w:w="395"/>
        <w:gridCol w:w="505"/>
        <w:gridCol w:w="77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5" w:hRule="atLeast"/>
        </w:trPr>
        <w:tc>
          <w:tcPr>
            <w:tcW w:w="52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bookmarkStart w:id="6" w:name="_Hlt101846155"/>
            <w:bookmarkEnd w:id="6"/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序号</w:t>
            </w:r>
          </w:p>
        </w:tc>
        <w:tc>
          <w:tcPr>
            <w:tcW w:w="75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货物名称</w:t>
            </w:r>
          </w:p>
        </w:tc>
        <w:tc>
          <w:tcPr>
            <w:tcW w:w="39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单位</w:t>
            </w:r>
          </w:p>
        </w:tc>
        <w:tc>
          <w:tcPr>
            <w:tcW w:w="50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数量</w:t>
            </w:r>
          </w:p>
        </w:tc>
        <w:tc>
          <w:tcPr>
            <w:tcW w:w="7718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技术参数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01" w:hRule="atLeast"/>
        </w:trPr>
        <w:tc>
          <w:tcPr>
            <w:tcW w:w="52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1</w:t>
            </w:r>
          </w:p>
        </w:tc>
        <w:tc>
          <w:tcPr>
            <w:tcW w:w="756" w:type="dxa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水驱动排烟机</w:t>
            </w:r>
          </w:p>
        </w:tc>
        <w:tc>
          <w:tcPr>
            <w:tcW w:w="39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台</w:t>
            </w:r>
          </w:p>
        </w:tc>
        <w:tc>
          <w:tcPr>
            <w:tcW w:w="50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7718" w:type="dxa"/>
            <w:noWrap w:val="0"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1、用于火灾现场的正压排烟及送风；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2、▲发动机功率≥6KW；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3、▲排烟量≥70000立方米/小时；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4、▲产品重量≤50KG；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5、▲叶轮直径≥550mm；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6、正压送风风管1根，直径≥500mm，长度≥5m；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7、配有脚轮，方便移动；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8、标配集成式水雾系统，带高倍数泡沫发生器，可直接喷射高倍数泡沫。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26" w:hRule="atLeast"/>
        </w:trPr>
        <w:tc>
          <w:tcPr>
            <w:tcW w:w="52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2</w:t>
            </w:r>
          </w:p>
        </w:tc>
        <w:tc>
          <w:tcPr>
            <w:tcW w:w="756" w:type="dxa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后场监控热成像仪</w:t>
            </w:r>
          </w:p>
        </w:tc>
        <w:tc>
          <w:tcPr>
            <w:tcW w:w="39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台</w:t>
            </w:r>
          </w:p>
        </w:tc>
        <w:tc>
          <w:tcPr>
            <w:tcW w:w="50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7718" w:type="dxa"/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★整套系统至少由三部分组成：消防用红外热像仪、发射器、远程接收系统，均为同一品牌或者同一产品生产厂家提供。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〖消防用红外热像仪〗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9、▲技术性能符合GA/T635-2006《消防用红外热像仪》；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10、质量≤3kg；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11、连续工作时间≥2h；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12、▲测温范围须满足-20°C～+500°C；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13、▲LCD屏幕≥3.5英寸，须支持中文菜单，刷新率≥30Hz；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14、屏幕色彩模式≥13种；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15、须标配无线遥控器用于修改设置；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16、屏幕上须同时显示时间、日期、环境温度及中心点温度；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17、须配置至少有2倍和4倍数字变焦模式；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18、▲防护等级≧IP67,可以浸于水中并漂浮于水面；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〖发射器〗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19、▲须采用COFDM数字技术或其他同等功能数字技术，传输距离≥800米，无需借助公网传输信号，具备独立传输信号能力，传输功能不得使用MESH中继信号传输；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20、发射器须采用镍氢充电电池技术，使用时间≥1小时；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21、▲发射器视频输出格式须为MPEG-2或其他同等功能格式，须有AES 32-bit或以上传输加密；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〖远程接收系统〗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22、▲须采用独立的坚固防水便携箱，防护等级≧IP67；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23、箱内需集成双天线和调谐器，减少信号衰减；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24、屏幕须采用高清彩色TFT屏幕，屏幕尺寸≥8.0英寸；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25、▲须采用高容量锂离子充电电池，电池容量≥5000mAh,工作时间≥3.0小时。</w:t>
            </w:r>
          </w:p>
          <w:p>
            <w:pPr>
              <w:pStyle w:val="2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【提供样品1套（全套）作为评标依据。】</w:t>
            </w:r>
          </w:p>
        </w:tc>
      </w:tr>
    </w:tbl>
    <w:p>
      <w:pPr>
        <w:spacing w:line="360" w:lineRule="auto"/>
        <w:rPr>
          <w:rFonts w:hint="eastAsia"/>
          <w:b/>
          <w:bCs/>
          <w:sz w:val="24"/>
          <w:szCs w:val="24"/>
        </w:rPr>
      </w:pPr>
    </w:p>
    <w:p>
      <w:pPr>
        <w:spacing w:line="360" w:lineRule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备注：技术参数中要求提供的产品第三方检测机构出具证书（检测、认证、测试等），除在投标文件中一并提供外，投标人还可提供在线查询途径；若不能及时在线验证真伪的，应提供原件备查。</w:t>
      </w:r>
    </w:p>
    <w:p/>
    <w:p>
      <w:pPr>
        <w:spacing w:line="360" w:lineRule="auto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★</w:t>
      </w:r>
      <w:r>
        <w:rPr>
          <w:rFonts w:hint="eastAsia"/>
          <w:b/>
          <w:bCs/>
          <w:sz w:val="24"/>
          <w:szCs w:val="24"/>
        </w:rPr>
        <w:t>二</w:t>
      </w:r>
      <w:r>
        <w:rPr>
          <w:b/>
          <w:sz w:val="24"/>
          <w:szCs w:val="24"/>
        </w:rPr>
        <w:t>、商务要求</w:t>
      </w:r>
    </w:p>
    <w:p>
      <w:pPr>
        <w:numPr>
          <w:ilvl w:val="0"/>
          <w:numId w:val="1"/>
        </w:numPr>
        <w:spacing w:line="360" w:lineRule="auto"/>
        <w:rPr>
          <w:kern w:val="0"/>
          <w:sz w:val="24"/>
          <w:szCs w:val="24"/>
          <w:lang w:eastAsia="zh-Hans" w:bidi="ar"/>
        </w:rPr>
      </w:pPr>
      <w:r>
        <w:rPr>
          <w:b/>
          <w:bCs/>
          <w:sz w:val="24"/>
          <w:szCs w:val="24"/>
        </w:rPr>
        <w:t>交货时间：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eastAsia="zh-Hans" w:bidi="ar"/>
        </w:rPr>
        <w:t>政府采购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bidi="ar"/>
        </w:rPr>
        <w:t>合同签订后90日内</w:t>
      </w:r>
      <w:r>
        <w:rPr>
          <w:rFonts w:ascii="宋体" w:hAnsi="宋体" w:cs="宋体"/>
          <w:color w:val="000000"/>
          <w:kern w:val="0"/>
          <w:sz w:val="24"/>
          <w:szCs w:val="24"/>
          <w:lang w:bidi="ar"/>
        </w:rPr>
        <w:t>。</w:t>
      </w:r>
      <w:r>
        <w:rPr>
          <w:rFonts w:hint="eastAsia"/>
          <w:kern w:val="0"/>
          <w:sz w:val="24"/>
          <w:szCs w:val="24"/>
          <w:lang w:bidi="ar"/>
        </w:rPr>
        <w:t>若遇不可抗力或其他特殊情况，由采购人确认后可延迟。</w:t>
      </w:r>
    </w:p>
    <w:p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b/>
          <w:bCs/>
          <w:sz w:val="24"/>
          <w:szCs w:val="24"/>
        </w:rPr>
        <w:t>交货地点：</w:t>
      </w:r>
      <w:r>
        <w:rPr>
          <w:kern w:val="0"/>
          <w:sz w:val="24"/>
        </w:rPr>
        <w:t>采购人</w:t>
      </w:r>
      <w:r>
        <w:rPr>
          <w:sz w:val="24"/>
        </w:rPr>
        <w:t>指定四川省省内地点。</w:t>
      </w:r>
    </w:p>
    <w:p>
      <w:pPr>
        <w:pStyle w:val="2"/>
        <w:spacing w:after="0"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（</w:t>
      </w:r>
      <w:r>
        <w:rPr>
          <w:rFonts w:hint="eastAsia"/>
          <w:b/>
          <w:bCs/>
          <w:sz w:val="24"/>
          <w:szCs w:val="24"/>
        </w:rPr>
        <w:t>三</w:t>
      </w:r>
      <w:r>
        <w:rPr>
          <w:b/>
          <w:bCs/>
          <w:sz w:val="24"/>
          <w:szCs w:val="24"/>
        </w:rPr>
        <w:t>）付款方式及时间：</w:t>
      </w:r>
    </w:p>
    <w:p>
      <w:pPr>
        <w:spacing w:line="360" w:lineRule="auto"/>
        <w:ind w:firstLine="240" w:firstLineChars="1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1、合同签订前，中标供应商向采购人支付合同总额3%的履约保证金；</w:t>
      </w:r>
    </w:p>
    <w:p>
      <w:pPr>
        <w:spacing w:line="360" w:lineRule="auto"/>
        <w:ind w:firstLine="240" w:firstLineChars="1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2、合同生效后15个工作日内，甲方在收到乙方提供的合法合规发票及相关凭证资料后，支付合同总金额的30%合同款；</w:t>
      </w:r>
    </w:p>
    <w:p>
      <w:pPr>
        <w:spacing w:line="360" w:lineRule="auto"/>
        <w:ind w:firstLine="240" w:firstLineChars="1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3、所有货物安装调试完毕，经双方共同验收合格后15个工作日内，甲方在收到乙方提供的合法合规发票及相关凭证资料后，支付合同总金额的70%合同款。</w:t>
      </w:r>
    </w:p>
    <w:p>
      <w:pPr>
        <w:spacing w:line="360" w:lineRule="auto"/>
        <w:ind w:firstLine="240" w:firstLineChars="1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4、履约保证金退还：在货物验收合格后满1年，所投产品无质量问题，采购人根据中标人退还申请，于1</w:t>
      </w:r>
      <w:r>
        <w:rPr>
          <w:rFonts w:ascii="宋体" w:hAnsi="宋体" w:cs="宋体"/>
          <w:sz w:val="24"/>
          <w:szCs w:val="24"/>
        </w:rPr>
        <w:t>5</w:t>
      </w:r>
      <w:r>
        <w:rPr>
          <w:rFonts w:hint="eastAsia" w:ascii="宋体" w:hAnsi="宋体" w:cs="宋体"/>
          <w:sz w:val="24"/>
          <w:szCs w:val="24"/>
        </w:rPr>
        <w:t>个工作日内无息退还中标人履约保证金；产品存在质量问题的，履约保证金不予退还。</w:t>
      </w:r>
    </w:p>
    <w:p>
      <w:pPr>
        <w:spacing w:line="360" w:lineRule="auto"/>
        <w:rPr>
          <w:rFonts w:hint="eastAsia"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（四）售后服务</w:t>
      </w:r>
    </w:p>
    <w:p>
      <w:pPr>
        <w:pStyle w:val="2"/>
        <w:spacing w:after="0" w:line="360" w:lineRule="auto"/>
        <w:ind w:firstLine="240" w:firstLineChars="1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1、保修期：</w:t>
      </w:r>
      <w:r>
        <w:rPr>
          <w:rFonts w:hint="eastAsia" w:ascii="宋体" w:hAnsi="宋体" w:cs="宋体"/>
          <w:sz w:val="24"/>
          <w:szCs w:val="24"/>
          <w:lang w:eastAsia="zh-Hans"/>
        </w:rPr>
        <w:t>所有投标产品</w:t>
      </w:r>
      <w:r>
        <w:rPr>
          <w:rFonts w:hint="eastAsia" w:ascii="宋体" w:hAnsi="宋体" w:cs="宋体"/>
          <w:kern w:val="0"/>
          <w:sz w:val="24"/>
        </w:rPr>
        <w:t>至少3年。</w:t>
      </w:r>
      <w:r>
        <w:rPr>
          <w:rFonts w:hint="eastAsia" w:ascii="宋体" w:hAnsi="宋体" w:cs="宋体"/>
          <w:sz w:val="24"/>
          <w:szCs w:val="24"/>
        </w:rPr>
        <w:t>保修期期内提供7×24小时维修电话服务。易损配件及零件储备期不少于5年。</w:t>
      </w:r>
    </w:p>
    <w:p>
      <w:pPr>
        <w:spacing w:line="360" w:lineRule="auto"/>
        <w:ind w:firstLine="240" w:firstLineChars="1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2、支持重大故障或特殊故障的紧急远程或现场抢修。一般故障，30分钟响应、4小时内到场、24小时内维修完毕；重大故障或特殊故障，30分钟响应、4小时内到场、72小时维修完毕。</w:t>
      </w:r>
    </w:p>
    <w:p>
      <w:pPr>
        <w:spacing w:line="360" w:lineRule="auto"/>
        <w:ind w:firstLine="240" w:firstLineChars="100"/>
        <w:rPr>
          <w:rFonts w:hint="eastAsia"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3、未经采购人同意，维修维护使用的备品备件及易损件，不得为非原厂件。</w:t>
      </w:r>
    </w:p>
    <w:p>
      <w:pPr>
        <w:spacing w:line="360" w:lineRule="auto"/>
        <w:ind w:firstLine="240" w:firstLineChars="100"/>
        <w:rPr>
          <w:rFonts w:hint="eastAsia"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4、供应商需建立相应的售后维护档案，每次故障维修提交报告，并提出预防性维护措施，记录每次故障响应服务和预防性维护的详细情况。</w:t>
      </w:r>
    </w:p>
    <w:p>
      <w:pPr>
        <w:spacing w:line="360" w:lineRule="auto"/>
        <w:ind w:firstLine="240" w:firstLineChars="1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5、供应商需建立专门的回访制度，设立专职服务人员，为用户提供至少每季度一次的回访、技术咨询和技术培训等服务。</w:t>
      </w:r>
    </w:p>
    <w:p>
      <w:pPr>
        <w:spacing w:line="360" w:lineRule="auto"/>
        <w:rPr>
          <w:rFonts w:hint="eastAsia"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（五）验收要求</w:t>
      </w:r>
    </w:p>
    <w:p>
      <w:pPr>
        <w:pStyle w:val="2"/>
        <w:spacing w:after="0" w:line="360" w:lineRule="auto"/>
        <w:ind w:firstLine="240" w:firstLineChars="1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1、严格按照招标文件要求和中标人投标文件内容进行验收。</w:t>
      </w:r>
    </w:p>
    <w:p>
      <w:pPr>
        <w:pStyle w:val="2"/>
        <w:spacing w:after="0" w:line="360" w:lineRule="auto"/>
        <w:ind w:firstLine="240" w:firstLineChars="1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2、严格按照政府采购相关法律法规的要求进行验收。</w:t>
      </w:r>
    </w:p>
    <w:p>
      <w:pPr>
        <w:pStyle w:val="2"/>
        <w:spacing w:after="0" w:line="360" w:lineRule="auto"/>
        <w:ind w:firstLine="240" w:firstLineChars="1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3、采购人可根据项目情况邀请专家进行验收。</w:t>
      </w:r>
    </w:p>
    <w:p>
      <w:pPr>
        <w:spacing w:line="360" w:lineRule="auto"/>
        <w:rPr>
          <w:rFonts w:hint="eastAsia"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注：★项条款为本项目实质性要求，不允许负偏离，否则作无效投标处理；“▲”项为本项目重要参数,负偏离将作分值扣分处理(详见各包评分细则）。</w:t>
      </w:r>
    </w:p>
    <w:p>
      <w:bookmarkStart w:id="7" w:name="_GoBack"/>
      <w:bookmarkEnd w:id="7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9AF7A38"/>
    <w:multiLevelType w:val="singleLevel"/>
    <w:tmpl w:val="39AF7A38"/>
    <w:lvl w:ilvl="0" w:tentative="0">
      <w:start w:val="1"/>
      <w:numFmt w:val="chineseCounting"/>
      <w:suff w:val="nothing"/>
      <w:lvlText w:val="（%1）"/>
      <w:lvlJc w:val="left"/>
      <w:rPr>
        <w:rFonts w:hint="eastAsia"/>
        <w:b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A14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after="330" w:afterLines="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iPriority w:val="0"/>
    <w:pPr>
      <w:spacing w:after="120" w:afterLines="0"/>
    </w:pPr>
  </w:style>
  <w:style w:type="character" w:customStyle="1" w:styleId="6">
    <w:name w:val="无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2021-12-15T10:17:35Z</dcterms:created>
  <dc:creator>ROG</dc:creator>
  <cp:lastModifiedBy>圈圈</cp:lastModifiedBy>
  <dcterms:modified xsi:type="dcterms:W3CDTF">2021-12-15T10:17:46Z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DDF79645F157412FB152C805FA44E689</vt:lpwstr>
  </property>
</Properties>
</file>