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附件：</w:t>
      </w:r>
    </w:p>
    <w:p>
      <w:pPr>
        <w:widowControl w:val="0"/>
        <w:adjustRightInd w:val="0"/>
        <w:snapToGrid w:val="0"/>
        <w:spacing w:line="560" w:lineRule="exact"/>
        <w:jc w:val="center"/>
        <w:rPr>
          <w:rFonts w:asciiTheme="majorEastAsia" w:hAnsiTheme="majorEastAsia" w:eastAsiaTheme="majorEastAsia" w:cstheme="majorEastAsia"/>
          <w:b w:val="0"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44"/>
          <w:szCs w:val="44"/>
        </w:rPr>
        <w:t>北京消防协会捐赠工作管理办法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Theme="majorEastAsia" w:hAnsiTheme="majorEastAsia" w:eastAsiaTheme="majorEastAsia" w:cstheme="majorEastAsia"/>
          <w:b/>
          <w:color w:val="000000"/>
          <w:sz w:val="32"/>
          <w:szCs w:val="32"/>
        </w:rPr>
      </w:pP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第一条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>为了规范北京消防协会（以下简称协会）捐赠工作，保障捐赠人、受赠人、受益人的合法权益，依据《中华人民共和国公益事业捐赠法》、《中华人民共和国慈善法》、《社会团体登记管理条例》、《北京消防协会章程》等有关规定，制定本办法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第二条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>协会捐赠工作坚持合法、规范、自愿、无偿的原则，自觉接受登记管理机关和社会公众的监督。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第三条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>协会接受捐赠和对外捐赠，及对捐赠财产的管理和使用，适用本办法。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第四条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>捐赠财产主要包括货币、实物、房屋、有价证券、股权、知识产权等有形和无形财产。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第五条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>捐赠财产的使用范围包括：</w:t>
      </w:r>
    </w:p>
    <w:p>
      <w:pPr>
        <w:widowControl w:val="0"/>
        <w:adjustRightInd w:val="0"/>
        <w:snapToGrid w:val="0"/>
        <w:spacing w:line="560" w:lineRule="exact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 xml:space="preserve">    （一）在自然灾害、突发事件、救灾、救助活动；</w:t>
      </w:r>
    </w:p>
    <w:p>
      <w:pPr>
        <w:widowControl w:val="0"/>
        <w:adjustRightInd w:val="0"/>
        <w:snapToGrid w:val="0"/>
        <w:spacing w:line="560" w:lineRule="exact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 xml:space="preserve">    （二）消防行业内的公益活动或有助于推动我国消防事业建设的活动；</w:t>
      </w:r>
    </w:p>
    <w:p>
      <w:pPr>
        <w:widowControl w:val="0"/>
        <w:adjustRightInd w:val="0"/>
        <w:snapToGrid w:val="0"/>
        <w:spacing w:line="560" w:lineRule="exact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 xml:space="preserve">    （三）符合协会宗旨的其他公益活动。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第六条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>协会接受捐赠和对外捐赠应当经会长办公会讨论形成初步意见，报理事会审议通过后，由秘书处具体实施。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218FC4"/>
        </w:rPr>
        <w:t>第七条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 xml:space="preserve"> 具有下列情形之一的，经会长办公会讨论通过后，由秘书处直接实施。</w:t>
      </w:r>
    </w:p>
    <w:p>
      <w:pPr>
        <w:pStyle w:val="5"/>
        <w:widowControl w:val="0"/>
        <w:numPr>
          <w:ilvl w:val="0"/>
          <w:numId w:val="1"/>
        </w:numPr>
        <w:adjustRightInd w:val="0"/>
        <w:snapToGrid w:val="0"/>
        <w:spacing w:line="560" w:lineRule="exact"/>
        <w:ind w:firstLineChars="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>协会接受捐赠，捐赠人指定受益人的；</w:t>
      </w:r>
    </w:p>
    <w:p>
      <w:pPr>
        <w:pStyle w:val="5"/>
        <w:widowControl w:val="0"/>
        <w:numPr>
          <w:ilvl w:val="0"/>
          <w:numId w:val="1"/>
        </w:numPr>
        <w:adjustRightInd w:val="0"/>
        <w:snapToGrid w:val="0"/>
        <w:spacing w:line="560" w:lineRule="exact"/>
        <w:ind w:firstLineChars="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>协会对外捐赠，捐赠财产总额不足1万元的。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218FC4"/>
        </w:rPr>
        <w:t>第八条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 xml:space="preserve"> 协会每年对外捐赠财产总额，不应超过协会上年度会费收入总额的5%。</w:t>
      </w:r>
    </w:p>
    <w:p>
      <w:pPr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>捐赠人向协会捐赠财产，协议指定受益人的，协会按协议约定实施，不受对外捐赠财产金额限制。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218FC4"/>
        </w:rPr>
        <w:t>第九条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 xml:space="preserve"> 协会不得以捐赠为名从事营利性活动。协会接受捐赠，不得向捐赠人、受益人提供利益回报,不得接受捐赠人与受益人有利害关系的捐赠。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218FC4"/>
        </w:rPr>
        <w:t>第十条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 xml:space="preserve"> 协会对捐赠财产的管理应当设立专门会计科目进行单独核算，专款专用。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218FC4"/>
        </w:rPr>
        <w:t>第十一条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 xml:space="preserve"> 协会接受捐赠和对外捐赠，应当签订捐赠协议，约定捐赠财产的合法用途、种类、数量、质量、交付时间等，以及协议双方的权利和义务。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218FC4"/>
        </w:rPr>
        <w:t>第十二条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 xml:space="preserve"> 协会接受捐赠，应当在收到捐赠财产后，向捐赠人出具捐赠接收函，并开具由财政部门统一监（印）制的捐赠票据。协会对外捐赠的，按照国家有关规定，获取</w:t>
      </w:r>
      <w:r>
        <w:rPr>
          <w:rFonts w:hint="eastAsia" w:ascii="仿宋" w:hAnsi="仿宋" w:eastAsia="仿宋" w:cs="仿宋"/>
          <w:sz w:val="32"/>
          <w:szCs w:val="32"/>
          <w:u w:color="218FC4"/>
        </w:rPr>
        <w:t>合法、有效的捐赠凭证。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218FC4"/>
        </w:rPr>
        <w:t>第十三条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 xml:space="preserve"> 协会接受、使用捐赠的有关情况，应向登记管理机关报告，并通过协会官方网站发布，并接受社会监督。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218FC4"/>
        </w:rPr>
        <w:t>第十四条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 xml:space="preserve"> 协会监事会依职权对捐赠财产的使用、管理情况进行监督。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218FC4"/>
        </w:rPr>
        <w:t>第十五条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 xml:space="preserve"> 协会会员有权向协会秘书处查询捐赠财产的使用、管理情况，并提出意见和建议，协会秘书处应当予以如实答复。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218FC4"/>
        </w:rPr>
        <w:t>第十六条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 xml:space="preserve"> 在捐赠工作中，协会工作人员有严重违法行为的，依照有关法律规定处理。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218FC4"/>
        </w:rPr>
        <w:t>第十七条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 xml:space="preserve"> 接受或向境外捐赠的，依国家相关规定并参照本办法执行。</w:t>
      </w:r>
    </w:p>
    <w:p>
      <w:pPr>
        <w:widowControl w:val="0"/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color w:val="000000"/>
          <w:sz w:val="32"/>
          <w:szCs w:val="32"/>
          <w:u w:color="218FC4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color="218FC4"/>
        </w:rPr>
        <w:t>第十八条</w:t>
      </w:r>
      <w:r>
        <w:rPr>
          <w:rFonts w:hint="eastAsia" w:ascii="仿宋" w:hAnsi="仿宋" w:eastAsia="仿宋" w:cs="仿宋"/>
          <w:color w:val="000000"/>
          <w:sz w:val="32"/>
          <w:szCs w:val="32"/>
          <w:u w:color="218FC4"/>
        </w:rPr>
        <w:t xml:space="preserve"> 本办法自协会理事会审议通过后，自发布之日起施行，协会制定的《北京消防协会接受捐赠及使用公示制度》（试行）同时废止。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559" w:left="1803" w:header="799" w:footer="79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9188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F48"/>
    <w:multiLevelType w:val="multilevel"/>
    <w:tmpl w:val="37625F48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1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2020-04-20T08:05:41Z</dcterms:created>
  <dc:creator>Administrator</dc:creator>
  <cp:lastModifiedBy>✨鹏嘭嘭</cp:lastModifiedBy>
  <dcterms:modified xsi:type="dcterms:W3CDTF">2020-04-20T08:05:48Z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